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69A0782A"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Pr="00244BAC">
        <w:rPr>
          <w:b/>
          <w:kern w:val="2"/>
          <w:lang w:eastAsia="zh-CN"/>
        </w:rPr>
        <w:tab/>
      </w:r>
      <w:r w:rsidR="00CB1DD6" w:rsidRPr="00CB1DD6">
        <w:rPr>
          <w:b/>
          <w:kern w:val="2"/>
          <w:lang w:eastAsia="zh-CN"/>
        </w:rPr>
        <w:t>R1-2308655</w:t>
      </w:r>
      <w:bookmarkStart w:id="1" w:name="_GoBack"/>
      <w:bookmarkEnd w:id="1"/>
    </w:p>
    <w:p w14:paraId="1E87E155" w14:textId="2C42D324" w:rsidR="005429FD" w:rsidRDefault="00812139" w:rsidP="00557B89">
      <w:pPr>
        <w:tabs>
          <w:tab w:val="right" w:pos="9216"/>
        </w:tabs>
        <w:rPr>
          <w:b/>
          <w:kern w:val="2"/>
          <w:lang w:eastAsia="zh-CN"/>
        </w:rPr>
      </w:pPr>
      <w:r w:rsidRPr="00812139">
        <w:rPr>
          <w:b/>
          <w:kern w:val="2"/>
          <w:lang w:eastAsia="zh-CN"/>
        </w:rPr>
        <w:t>Toulouse, France, August</w:t>
      </w:r>
      <w:r w:rsidR="00235550">
        <w:rPr>
          <w:b/>
          <w:kern w:val="2"/>
          <w:lang w:eastAsia="zh-CN"/>
        </w:rPr>
        <w:t xml:space="preserve"> 2</w:t>
      </w:r>
      <w:r>
        <w:rPr>
          <w:b/>
          <w:kern w:val="2"/>
          <w:lang w:eastAsia="zh-CN"/>
        </w:rPr>
        <w:t>1</w:t>
      </w:r>
      <w:r w:rsidR="00C44224">
        <w:rPr>
          <w:b/>
          <w:bCs/>
          <w:vertAlign w:val="superscript"/>
          <w:lang w:eastAsia="zh-CN"/>
        </w:rPr>
        <w:t xml:space="preserve"> </w:t>
      </w:r>
      <w:r w:rsidR="00AB49B7">
        <w:rPr>
          <w:b/>
          <w:bCs/>
          <w:lang w:eastAsia="zh-CN"/>
        </w:rPr>
        <w:t>–</w:t>
      </w:r>
      <w:r w:rsidR="00C44224">
        <w:rPr>
          <w:b/>
          <w:bCs/>
          <w:lang w:eastAsia="zh-CN"/>
        </w:rPr>
        <w:t xml:space="preserve"> 2</w:t>
      </w:r>
      <w:r>
        <w:rPr>
          <w:b/>
          <w:bCs/>
          <w:lang w:eastAsia="zh-CN"/>
        </w:rPr>
        <w:t>5</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37B05B42"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AF11E0">
        <w:rPr>
          <w:b/>
          <w:kern w:val="2"/>
          <w:lang w:eastAsia="zh-CN"/>
        </w:rPr>
        <w:t>17</w:t>
      </w:r>
    </w:p>
    <w:p w14:paraId="6416FB33" w14:textId="7B027935"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r>
      <w:r w:rsidR="00CF4990">
        <w:rPr>
          <w:b/>
          <w:kern w:val="2"/>
          <w:lang w:eastAsia="zh-CN"/>
        </w:rPr>
        <w:t>Moderator</w:t>
      </w:r>
      <w:r w:rsidR="00BC0BF7">
        <w:rPr>
          <w:b/>
          <w:lang w:eastAsia="zh-CN"/>
        </w:rPr>
        <w:t xml:space="preserve"> </w:t>
      </w:r>
      <w:bookmarkStart w:id="2" w:name="OLE_LINK120"/>
      <w:bookmarkStart w:id="3" w:name="OLE_LINK121"/>
      <w:r w:rsidR="00CF4990">
        <w:rPr>
          <w:b/>
          <w:lang w:eastAsia="zh-CN"/>
        </w:rPr>
        <w:t>(</w:t>
      </w:r>
      <w:proofErr w:type="spellStart"/>
      <w:r>
        <w:rPr>
          <w:b/>
          <w:lang w:eastAsia="zh-CN"/>
        </w:rPr>
        <w:t>HiSilicon</w:t>
      </w:r>
      <w:bookmarkEnd w:id="2"/>
      <w:bookmarkEnd w:id="3"/>
      <w:proofErr w:type="spellEnd"/>
      <w:r w:rsidR="00CF4990">
        <w:rPr>
          <w:b/>
          <w:lang w:eastAsia="zh-CN"/>
        </w:rPr>
        <w:t>)</w:t>
      </w:r>
    </w:p>
    <w:p w14:paraId="60AFCEB5" w14:textId="3D67F5F9"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CF4990">
        <w:rPr>
          <w:rFonts w:hint="eastAsia"/>
          <w:b/>
          <w:kern w:val="2"/>
          <w:lang w:eastAsia="zh-CN"/>
        </w:rPr>
        <w:t>Summary</w:t>
      </w:r>
      <w:r w:rsidR="00CF4990">
        <w:rPr>
          <w:b/>
          <w:kern w:val="2"/>
          <w:lang w:eastAsia="zh-CN"/>
        </w:rPr>
        <w:t xml:space="preserve"> of d</w:t>
      </w:r>
      <w:r w:rsidR="00812139" w:rsidRPr="00812139">
        <w:rPr>
          <w:b/>
          <w:kern w:val="2"/>
          <w:lang w:eastAsia="zh-CN"/>
        </w:rPr>
        <w:t xml:space="preserve">iscussions on </w:t>
      </w:r>
      <w:r w:rsidR="00CF4990">
        <w:rPr>
          <w:b/>
          <w:kern w:val="2"/>
          <w:lang w:eastAsia="zh-CN"/>
        </w:rPr>
        <w:t xml:space="preserve">high layer parameters </w:t>
      </w:r>
      <w:r w:rsidR="00CF4990" w:rsidRPr="00CF4990">
        <w:rPr>
          <w:b/>
          <w:kern w:val="2"/>
          <w:lang w:eastAsia="zh-CN"/>
        </w:rPr>
        <w:t>for endorsed Rel-18 TEI on HARQ multiplexing on PUSCH</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4" w:name="_Ref124589705"/>
      <w:bookmarkStart w:id="5" w:name="_Ref129681862"/>
      <w:r w:rsidRPr="00CF195E">
        <w:t>Introduction</w:t>
      </w:r>
      <w:bookmarkEnd w:id="4"/>
      <w:bookmarkEnd w:id="5"/>
    </w:p>
    <w:p w14:paraId="385318EC" w14:textId="3BBCC528" w:rsidR="00CF4990" w:rsidRDefault="00CF4990" w:rsidP="00CF4990">
      <w:pPr>
        <w:spacing w:afterLines="50"/>
        <w:rPr>
          <w:rFonts w:eastAsia="MS Mincho"/>
          <w:lang w:eastAsia="ja-JP"/>
        </w:rPr>
      </w:pPr>
      <w:r>
        <w:rPr>
          <w:rFonts w:eastAsia="MS Mincho"/>
        </w:rPr>
        <w:t xml:space="preserve">This contribution </w:t>
      </w:r>
      <w:r w:rsidR="00A30AD0">
        <w:rPr>
          <w:rFonts w:eastAsia="MS Mincho"/>
        </w:rPr>
        <w:t xml:space="preserve">is going to collect companies’ views </w:t>
      </w:r>
      <w:r>
        <w:rPr>
          <w:rFonts w:eastAsia="MS Mincho"/>
        </w:rPr>
        <w:t xml:space="preserve">regarding higher layer signaling for </w:t>
      </w:r>
      <w:r w:rsidR="00A30AD0">
        <w:rPr>
          <w:rFonts w:eastAsia="MS Mincho"/>
        </w:rPr>
        <w:t xml:space="preserve">endorsed </w:t>
      </w:r>
      <w:r>
        <w:rPr>
          <w:rFonts w:eastAsia="MS Mincho"/>
        </w:rPr>
        <w:t xml:space="preserve">Rel-18 TEI on </w:t>
      </w:r>
      <w:r w:rsidR="00A30AD0" w:rsidRPr="00A30AD0">
        <w:rPr>
          <w:rFonts w:eastAsia="MS Mincho"/>
        </w:rPr>
        <w:t>HARQ multiplexing on PUSCH</w:t>
      </w:r>
      <w:r w:rsidR="00A30AD0">
        <w:rPr>
          <w:rFonts w:eastAsia="MS Mincho"/>
        </w:rPr>
        <w:t xml:space="preserve"> </w:t>
      </w:r>
      <w:r>
        <w:rPr>
          <w:rFonts w:eastAsia="MS Mincho"/>
        </w:rPr>
        <w:t xml:space="preserve">and </w:t>
      </w:r>
      <w:r w:rsidR="00A30AD0">
        <w:rPr>
          <w:rFonts w:eastAsia="MS Mincho"/>
        </w:rPr>
        <w:t xml:space="preserve">summarize </w:t>
      </w:r>
      <w:r>
        <w:rPr>
          <w:rFonts w:eastAsia="MS Mincho"/>
        </w:rPr>
        <w:t>corresponding discussion in RAN1#114 meeting.</w:t>
      </w:r>
    </w:p>
    <w:p w14:paraId="66EFDDF7" w14:textId="17F0E2AA" w:rsidR="00CF4990" w:rsidRDefault="00A30AD0" w:rsidP="00CF4990">
      <w:pPr>
        <w:spacing w:afterLines="50"/>
        <w:rPr>
          <w:rFonts w:eastAsia="MS Mincho"/>
        </w:rPr>
      </w:pPr>
      <w:r>
        <w:rPr>
          <w:rFonts w:eastAsia="MS Mincho"/>
        </w:rPr>
        <w:t xml:space="preserve">Related discussion is announced by the </w:t>
      </w:r>
      <w:r w:rsidR="00CF4990">
        <w:rPr>
          <w:rFonts w:eastAsia="MS Mincho"/>
        </w:rPr>
        <w:t>following email thread.</w:t>
      </w:r>
    </w:p>
    <w:tbl>
      <w:tblPr>
        <w:tblStyle w:val="TableGrid"/>
        <w:tblW w:w="0" w:type="auto"/>
        <w:tblLook w:val="04A0" w:firstRow="1" w:lastRow="0" w:firstColumn="1" w:lastColumn="0" w:noHBand="0" w:noVBand="1"/>
      </w:tblPr>
      <w:tblGrid>
        <w:gridCol w:w="9623"/>
      </w:tblGrid>
      <w:tr w:rsidR="00CF4990" w14:paraId="1F2321D3" w14:textId="77777777" w:rsidTr="00CF4990">
        <w:tc>
          <w:tcPr>
            <w:tcW w:w="9628" w:type="dxa"/>
            <w:tcBorders>
              <w:top w:val="single" w:sz="4" w:space="0" w:color="auto"/>
              <w:left w:val="single" w:sz="4" w:space="0" w:color="auto"/>
              <w:bottom w:val="single" w:sz="4" w:space="0" w:color="auto"/>
              <w:right w:val="single" w:sz="4" w:space="0" w:color="auto"/>
            </w:tcBorders>
            <w:hideMark/>
          </w:tcPr>
          <w:p w14:paraId="1B232A78" w14:textId="77777777" w:rsidR="00CF4990" w:rsidRDefault="00CF4990">
            <w:pPr>
              <w:pStyle w:val="NormalWeb"/>
              <w:textAlignment w:val="baseline"/>
              <w:rPr>
                <w:rFonts w:ascii="Times" w:eastAsia="MS PGothic" w:hAnsi="Times" w:cs="Times"/>
              </w:rPr>
            </w:pPr>
            <w:r>
              <w:rPr>
                <w:rFonts w:ascii="Times" w:hAnsi="Times" w:cs="Times"/>
                <w:color w:val="000000"/>
                <w:shd w:val="clear" w:color="auto" w:fill="00FFFF"/>
              </w:rPr>
              <w:t xml:space="preserve">[114-R18-Others-01] Email discussion on higher layer </w:t>
            </w:r>
            <w:proofErr w:type="spellStart"/>
            <w:r>
              <w:rPr>
                <w:rFonts w:ascii="Times" w:hAnsi="Times" w:cs="Times"/>
                <w:color w:val="000000"/>
                <w:shd w:val="clear" w:color="auto" w:fill="00FFFF"/>
              </w:rPr>
              <w:t>signalling</w:t>
            </w:r>
            <w:proofErr w:type="spellEnd"/>
            <w:r>
              <w:rPr>
                <w:rFonts w:ascii="Times" w:hAnsi="Times" w:cs="Times"/>
                <w:color w:val="000000"/>
                <w:shd w:val="clear" w:color="auto" w:fill="00FFFF"/>
              </w:rPr>
              <w:t xml:space="preserve"> for </w:t>
            </w:r>
            <w:proofErr w:type="spellStart"/>
            <w:r>
              <w:rPr>
                <w:rFonts w:ascii="Times" w:hAnsi="Times" w:cs="Times"/>
                <w:color w:val="000000"/>
                <w:shd w:val="clear" w:color="auto" w:fill="00FFFF"/>
              </w:rPr>
              <w:t>eDSS</w:t>
            </w:r>
            <w:proofErr w:type="spellEnd"/>
            <w:r>
              <w:rPr>
                <w:rFonts w:ascii="Times" w:hAnsi="Times" w:cs="Times"/>
                <w:color w:val="000000"/>
                <w:shd w:val="clear" w:color="auto" w:fill="00FFFF"/>
              </w:rPr>
              <w:t>, NCR, MC-</w:t>
            </w:r>
            <w:proofErr w:type="spellStart"/>
            <w:r>
              <w:rPr>
                <w:rFonts w:ascii="Times" w:hAnsi="Times" w:cs="Times"/>
                <w:color w:val="000000"/>
                <w:shd w:val="clear" w:color="auto" w:fill="00FFFF"/>
              </w:rPr>
              <w:t>Enh</w:t>
            </w:r>
            <w:proofErr w:type="spellEnd"/>
            <w:r>
              <w:rPr>
                <w:rFonts w:ascii="Times" w:hAnsi="Times" w:cs="Times"/>
                <w:color w:val="000000"/>
                <w:shd w:val="clear" w:color="auto" w:fill="00FFFF"/>
              </w:rPr>
              <w:t>, BWP without restriction, and endorsed TEIs – rapporteurs</w:t>
            </w:r>
          </w:p>
          <w:p w14:paraId="2F20F9FD" w14:textId="77777777" w:rsidR="00CF4990" w:rsidRDefault="00CF4990">
            <w:pPr>
              <w:pStyle w:val="NormalWeb"/>
              <w:ind w:left="720"/>
              <w:textAlignment w:val="baseline"/>
              <w:rPr>
                <w:rFonts w:ascii="MS PGothic" w:hAnsi="MS PGothic" w:cs="MS PGothic"/>
              </w:rPr>
            </w:pPr>
            <w:r>
              <w:rPr>
                <w:rFonts w:ascii="Times" w:hAnsi="Times" w:cs="Times"/>
              </w:rPr>
              <w:t>-</w:t>
            </w:r>
            <w:r>
              <w:rPr>
                <w:rFonts w:ascii="Times" w:hAnsi="Times" w:cs="Times"/>
                <w:sz w:val="14"/>
                <w:szCs w:val="14"/>
              </w:rPr>
              <w:t xml:space="preserve">        </w:t>
            </w:r>
            <w:r>
              <w:rPr>
                <w:rFonts w:ascii="Times" w:hAnsi="Times" w:cs="Times"/>
                <w:color w:val="000000"/>
                <w:shd w:val="clear" w:color="auto" w:fill="00FFFF"/>
              </w:rPr>
              <w:t>To be used for coordinating discussions in the draft folder</w:t>
            </w:r>
          </w:p>
        </w:tc>
      </w:tr>
    </w:tbl>
    <w:p w14:paraId="215957EB" w14:textId="77777777" w:rsidR="00491152" w:rsidRPr="009E0673" w:rsidRDefault="00491152" w:rsidP="00783163">
      <w:pPr>
        <w:spacing w:before="120"/>
        <w:rPr>
          <w:lang w:eastAsia="zh-CN"/>
        </w:rPr>
      </w:pPr>
    </w:p>
    <w:p w14:paraId="031F50D6" w14:textId="799168B0" w:rsidR="0038287F" w:rsidRDefault="00CF4990" w:rsidP="0038287F">
      <w:pPr>
        <w:pStyle w:val="Heading1"/>
        <w:rPr>
          <w:lang w:eastAsia="zh-CN"/>
        </w:rPr>
      </w:pPr>
      <w:r>
        <w:rPr>
          <w:lang w:eastAsia="zh-CN"/>
        </w:rPr>
        <w:t>Discussion</w:t>
      </w:r>
    </w:p>
    <w:p w14:paraId="636CDEE2" w14:textId="77777777" w:rsidR="0038287F" w:rsidRDefault="0038287F" w:rsidP="0038287F">
      <w:pPr>
        <w:rPr>
          <w:lang w:eastAsia="zh-CN"/>
        </w:rPr>
      </w:pPr>
      <w:r>
        <w:rPr>
          <w:lang w:eastAsia="zh-CN"/>
        </w:rPr>
        <w:t>In RAN1 #113, following agreement is reached.</w:t>
      </w:r>
    </w:p>
    <w:tbl>
      <w:tblPr>
        <w:tblStyle w:val="TableGrid"/>
        <w:tblW w:w="0" w:type="auto"/>
        <w:tblLook w:val="04A0" w:firstRow="1" w:lastRow="0" w:firstColumn="1" w:lastColumn="0" w:noHBand="0" w:noVBand="1"/>
      </w:tblPr>
      <w:tblGrid>
        <w:gridCol w:w="9307"/>
      </w:tblGrid>
      <w:tr w:rsidR="0038287F" w14:paraId="54985F21" w14:textId="77777777" w:rsidTr="00C64D8A">
        <w:tc>
          <w:tcPr>
            <w:tcW w:w="9307" w:type="dxa"/>
          </w:tcPr>
          <w:p w14:paraId="62AF6655" w14:textId="77777777" w:rsidR="0038287F" w:rsidRPr="006D5219" w:rsidRDefault="0038287F" w:rsidP="00C64D8A">
            <w:pPr>
              <w:autoSpaceDE/>
              <w:autoSpaceDN/>
              <w:adjustRightInd/>
              <w:snapToGrid/>
              <w:spacing w:after="0"/>
              <w:jc w:val="left"/>
              <w:rPr>
                <w:rFonts w:eastAsia="Batang"/>
                <w:b/>
                <w:szCs w:val="16"/>
                <w:highlight w:val="green"/>
              </w:rPr>
            </w:pPr>
            <w:r w:rsidRPr="006D5219">
              <w:rPr>
                <w:rFonts w:eastAsia="Batang"/>
                <w:b/>
                <w:szCs w:val="16"/>
                <w:highlight w:val="green"/>
              </w:rPr>
              <w:t>Agreement</w:t>
            </w:r>
          </w:p>
          <w:p w14:paraId="7DF5C0BD" w14:textId="77777777" w:rsidR="0038287F" w:rsidRPr="006D5219" w:rsidRDefault="0038287F" w:rsidP="00C64D8A">
            <w:pPr>
              <w:autoSpaceDE/>
              <w:autoSpaceDN/>
              <w:adjustRightInd/>
              <w:snapToGrid/>
              <w:spacing w:after="0"/>
              <w:rPr>
                <w:rFonts w:eastAsia="Times New Roman"/>
                <w:szCs w:val="20"/>
                <w:lang w:eastAsia="x-none"/>
              </w:rPr>
            </w:pPr>
            <w:r w:rsidRPr="006D5219">
              <w:rPr>
                <w:rFonts w:eastAsia="Batang"/>
                <w:szCs w:val="20"/>
                <w:lang w:val="en-GB" w:eastAsia="x-none"/>
              </w:rPr>
              <w:t xml:space="preserve">If UCI multiplexing of different priorities is not enabled, </w:t>
            </w:r>
            <w:r w:rsidRPr="006D5219">
              <w:rPr>
                <w:rFonts w:eastAsia="Batang"/>
                <w:szCs w:val="24"/>
                <w:lang w:val="en-GB" w:eastAsia="x-none"/>
              </w:rPr>
              <w:t>the restriction on scheduling PDSCH after UL grant is removed for the case of PUSCH with repetitions except the first repetition</w:t>
            </w:r>
          </w:p>
          <w:p w14:paraId="57F00826"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Type-1 HARQ-ACK codebook according to the existing specification with the modification of setting the actual ‘ACK/NACK’ value corresponding to PDSCH(s) scheduled after the UL grant.</w:t>
            </w:r>
          </w:p>
          <w:p w14:paraId="2E756C74"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Type-2/3 HARQ-ACK codebook according to the existing specification.</w:t>
            </w:r>
          </w:p>
          <w:p w14:paraId="69CE5F07" w14:textId="77777777" w:rsidR="0038287F" w:rsidRPr="006D5219" w:rsidRDefault="0038287F" w:rsidP="00C64D8A">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For Type-2 CB, UL DAI is used for generating HARQ CB.</w:t>
            </w:r>
          </w:p>
          <w:p w14:paraId="2D2074EC"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This feature is subject to separate UE capabilities for type-1, type-2, and type-3 codebooks. </w:t>
            </w:r>
          </w:p>
          <w:p w14:paraId="5132525B"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RRC parameter(s) to configure the function of scheduling PDSCH after a UL DCI format and multiplexing associated HARQ on a PUSCH repetition except the first repetition are introduced in Rel-18.</w:t>
            </w:r>
          </w:p>
          <w:p w14:paraId="128E57FC"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Note: the number of PUSCH repetitions can be scheduled/configured by </w:t>
            </w:r>
            <w:proofErr w:type="spellStart"/>
            <w:r w:rsidRPr="006D5219">
              <w:rPr>
                <w:rFonts w:eastAsia="Batang"/>
                <w:szCs w:val="24"/>
                <w:lang w:val="en-GB" w:eastAsia="x-none"/>
              </w:rPr>
              <w:t>gNB</w:t>
            </w:r>
            <w:proofErr w:type="spellEnd"/>
            <w:r w:rsidRPr="006D5219">
              <w:rPr>
                <w:rFonts w:eastAsia="Batang"/>
                <w:szCs w:val="24"/>
                <w:lang w:val="en-GB" w:eastAsia="x-none"/>
              </w:rPr>
              <w:t>.</w:t>
            </w:r>
          </w:p>
          <w:p w14:paraId="79D219BD"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Note: same principle of current specification which UL DAI in UL grant is applied to each PUSCH repetition is reused.</w:t>
            </w:r>
          </w:p>
          <w:p w14:paraId="0C325489"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The timeline specified in TS 38.213 Clause 9.2.5 are satisfied, i.e.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proc,1</m:t>
                  </m:r>
                </m:sub>
                <m:sup>
                  <m:r>
                    <w:rPr>
                      <w:rFonts w:ascii="Cambria Math" w:eastAsia="Batang" w:hAnsi="Cambria Math"/>
                      <w:szCs w:val="24"/>
                      <w:lang w:val="en-AU"/>
                    </w:rPr>
                    <m:t>mux</m:t>
                  </m:r>
                </m:sup>
              </m:sSubSup>
            </m:oMath>
            <w:r w:rsidRPr="006D5219">
              <w:rPr>
                <w:rFonts w:eastAsia="Batang"/>
                <w:szCs w:val="24"/>
                <w:lang w:val="en-GB" w:eastAsia="x-none"/>
              </w:rPr>
              <w:t xml:space="preserve">between the last PDSCH and PUCCH,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proc,2</m:t>
                  </m:r>
                </m:sub>
                <m:sup>
                  <m:r>
                    <w:rPr>
                      <w:rFonts w:ascii="Cambria Math" w:eastAsia="Batang" w:hAnsi="Cambria Math"/>
                      <w:szCs w:val="24"/>
                      <w:lang w:val="en-AU"/>
                    </w:rPr>
                    <m:t>mux</m:t>
                  </m:r>
                </m:sup>
              </m:sSubSup>
            </m:oMath>
            <w:r w:rsidRPr="006D5219">
              <w:rPr>
                <w:rFonts w:eastAsia="Batang"/>
                <w:szCs w:val="24"/>
                <w:lang w:val="en-GB" w:eastAsia="x-none"/>
              </w:rPr>
              <w:t xml:space="preserve"> between the last PDCCH among UL grant /DL grant(s) and the earliest PUCCH or PUSCH  </w:t>
            </w:r>
          </w:p>
          <w:p w14:paraId="01E1BC67"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Additional UE capabilities are introduced to support the following functions (UE will be configured by </w:t>
            </w:r>
            <w:proofErr w:type="spellStart"/>
            <w:r w:rsidRPr="006D5219">
              <w:rPr>
                <w:rFonts w:eastAsia="Batang"/>
                <w:szCs w:val="24"/>
                <w:lang w:val="en-GB" w:eastAsia="x-none"/>
              </w:rPr>
              <w:t>gNB</w:t>
            </w:r>
            <w:proofErr w:type="spellEnd"/>
            <w:r w:rsidRPr="006D5219">
              <w:rPr>
                <w:rFonts w:eastAsia="Batang"/>
                <w:szCs w:val="24"/>
                <w:lang w:val="en-GB" w:eastAsia="x-none"/>
              </w:rPr>
              <w:t xml:space="preserve"> to use the following features via RRC)</w:t>
            </w:r>
          </w:p>
          <w:p w14:paraId="4C056A79" w14:textId="77777777" w:rsidR="0038287F" w:rsidRPr="006D5219" w:rsidRDefault="0038287F" w:rsidP="00C64D8A">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HARQ-ACK codebook size change on a PUCCH slot</w:t>
            </w:r>
          </w:p>
          <w:p w14:paraId="06D28080" w14:textId="77777777" w:rsidR="0038287F" w:rsidRPr="006D5219" w:rsidRDefault="0038287F" w:rsidP="00C64D8A">
            <w:pPr>
              <w:numPr>
                <w:ilvl w:val="1"/>
                <w:numId w:val="33"/>
              </w:numPr>
              <w:autoSpaceDE/>
              <w:autoSpaceDN/>
              <w:adjustRightInd/>
              <w:snapToGrid/>
              <w:spacing w:after="0"/>
              <w:jc w:val="left"/>
              <w:rPr>
                <w:rFonts w:ascii="Times" w:eastAsia="Batang" w:hAnsi="Times"/>
                <w:sz w:val="20"/>
                <w:szCs w:val="24"/>
                <w:lang w:val="en-GB" w:eastAsia="x-none"/>
              </w:rPr>
            </w:pPr>
            <w:r w:rsidRPr="006D5219">
              <w:rPr>
                <w:rFonts w:eastAsia="Batang"/>
                <w:szCs w:val="24"/>
                <w:lang w:val="en-GB" w:eastAsia="x-none"/>
              </w:rPr>
              <w:t>PUCCH resource change on a PUCCH slot</w:t>
            </w:r>
          </w:p>
        </w:tc>
      </w:tr>
    </w:tbl>
    <w:p w14:paraId="7F25A22A" w14:textId="343F1BCA" w:rsidR="0004089B" w:rsidRDefault="0004089B" w:rsidP="0004089B">
      <w:pPr>
        <w:rPr>
          <w:lang w:eastAsia="zh-CN"/>
        </w:rPr>
      </w:pPr>
      <w:r>
        <w:rPr>
          <w:lang w:eastAsia="zh-CN"/>
        </w:rPr>
        <w:t xml:space="preserve">Based on the agreement, Type-1/2/3 HARQ-ACK codebook can be generated containing HARQ-ACK information associated with PDSCH(s) scheduled after a UL grant. The codebook is then multiplexed on </w:t>
      </w:r>
      <w:r w:rsidRPr="00923ABD">
        <w:rPr>
          <w:lang w:eastAsia="zh-CN"/>
        </w:rPr>
        <w:t xml:space="preserve">a repetition of a PUSCH transmission other than </w:t>
      </w:r>
      <w:r>
        <w:rPr>
          <w:lang w:eastAsia="zh-CN"/>
        </w:rPr>
        <w:t>the</w:t>
      </w:r>
      <w:r w:rsidRPr="00923ABD">
        <w:rPr>
          <w:lang w:eastAsia="zh-CN"/>
        </w:rPr>
        <w:t xml:space="preserve"> first repetition</w:t>
      </w:r>
      <w:r>
        <w:rPr>
          <w:lang w:eastAsia="zh-CN"/>
        </w:rPr>
        <w:t>, where the repetitions are scheduled by the UL grant. To support this functionality, several higher layer parameters should be introduced.</w:t>
      </w:r>
      <w:r w:rsidR="00A30AD0">
        <w:rPr>
          <w:lang w:eastAsia="zh-CN"/>
        </w:rPr>
        <w:t xml:space="preserve"> Following the analysis in </w:t>
      </w:r>
      <w:r w:rsidR="00A60BC0">
        <w:rPr>
          <w:lang w:eastAsia="zh-CN"/>
        </w:rPr>
        <w:fldChar w:fldCharType="begin"/>
      </w:r>
      <w:r w:rsidR="00A60BC0">
        <w:rPr>
          <w:lang w:eastAsia="zh-CN"/>
        </w:rPr>
        <w:instrText xml:space="preserve"> REF _Ref143663638 \r \h </w:instrText>
      </w:r>
      <w:r w:rsidR="00A60BC0">
        <w:rPr>
          <w:lang w:eastAsia="zh-CN"/>
        </w:rPr>
      </w:r>
      <w:r w:rsidR="00A60BC0">
        <w:rPr>
          <w:lang w:eastAsia="zh-CN"/>
        </w:rPr>
        <w:fldChar w:fldCharType="separate"/>
      </w:r>
      <w:r w:rsidR="00A60BC0">
        <w:rPr>
          <w:lang w:eastAsia="zh-CN"/>
        </w:rPr>
        <w:t>[1]</w:t>
      </w:r>
      <w:r w:rsidR="00A60BC0">
        <w:rPr>
          <w:lang w:eastAsia="zh-CN"/>
        </w:rPr>
        <w:fldChar w:fldCharType="end"/>
      </w:r>
      <w:r w:rsidR="00A30AD0">
        <w:rPr>
          <w:lang w:eastAsia="zh-CN"/>
        </w:rPr>
        <w:t>, related high layer parameters can be introduced considering the aspects as below.</w:t>
      </w:r>
    </w:p>
    <w:p w14:paraId="5EE15451" w14:textId="77777777" w:rsidR="0038287F" w:rsidRPr="00FF523E" w:rsidRDefault="0038287F" w:rsidP="0038287F">
      <w:pPr>
        <w:rPr>
          <w:b/>
          <w:u w:val="single"/>
          <w:lang w:eastAsia="zh-CN"/>
        </w:rPr>
      </w:pPr>
      <w:r>
        <w:rPr>
          <w:b/>
          <w:u w:val="single"/>
          <w:lang w:eastAsia="zh-CN"/>
        </w:rPr>
        <w:t>Parameters</w:t>
      </w:r>
      <w:r w:rsidRPr="00FF523E">
        <w:rPr>
          <w:b/>
          <w:u w:val="single"/>
          <w:lang w:eastAsia="zh-CN"/>
        </w:rPr>
        <w:t xml:space="preserve"> for </w:t>
      </w:r>
      <w:r>
        <w:rPr>
          <w:b/>
          <w:u w:val="single"/>
          <w:lang w:eastAsia="zh-CN"/>
        </w:rPr>
        <w:t xml:space="preserve">enabling </w:t>
      </w:r>
      <w:r w:rsidRPr="00FF523E">
        <w:rPr>
          <w:b/>
          <w:u w:val="single"/>
          <w:lang w:eastAsia="zh-CN"/>
        </w:rPr>
        <w:t>Type-1/2/3 HARQ codebook generation</w:t>
      </w:r>
    </w:p>
    <w:p w14:paraId="7FD30A3D" w14:textId="77777777" w:rsidR="0004089B" w:rsidRDefault="0004089B" w:rsidP="0004089B">
      <w:pPr>
        <w:rPr>
          <w:lang w:eastAsia="zh-CN"/>
        </w:rPr>
      </w:pPr>
      <w:r>
        <w:rPr>
          <w:lang w:eastAsia="zh-CN"/>
        </w:rPr>
        <w:t xml:space="preserve">In order to include more HARQ-ACK information arriving after a UL grant, new UE behaviors for HARQ-ACK codebook generation are required to be implemented and corresponding UE capabilities should be defined. Three new parameters to be introduced are as follows, with details captured in the attachment. </w:t>
      </w:r>
    </w:p>
    <w:p w14:paraId="5E3CBFEB" w14:textId="77777777" w:rsidR="0004089B" w:rsidRDefault="0004089B" w:rsidP="0004089B">
      <w:pPr>
        <w:pStyle w:val="ListParagraph"/>
        <w:numPr>
          <w:ilvl w:val="0"/>
          <w:numId w:val="39"/>
        </w:numPr>
        <w:ind w:firstLineChars="0"/>
        <w:rPr>
          <w:lang w:eastAsia="zh-CN"/>
        </w:rPr>
      </w:pPr>
      <w:r w:rsidRPr="000849B1">
        <w:rPr>
          <w:i/>
          <w:lang w:eastAsia="zh-CN"/>
        </w:rPr>
        <w:t>enable-Type1-HARQ-ACK-mux-forDLassignmentafterULgrant</w:t>
      </w:r>
      <w:r>
        <w:rPr>
          <w:lang w:eastAsia="zh-CN"/>
        </w:rPr>
        <w:t xml:space="preserve"> for Type-1 codebook, </w:t>
      </w:r>
    </w:p>
    <w:p w14:paraId="5B9B7AA7" w14:textId="77777777" w:rsidR="0004089B" w:rsidRDefault="0004089B" w:rsidP="0004089B">
      <w:pPr>
        <w:pStyle w:val="ListParagraph"/>
        <w:numPr>
          <w:ilvl w:val="0"/>
          <w:numId w:val="39"/>
        </w:numPr>
        <w:ind w:firstLineChars="0"/>
        <w:rPr>
          <w:lang w:eastAsia="zh-CN"/>
        </w:rPr>
      </w:pPr>
      <w:r w:rsidRPr="000849B1">
        <w:rPr>
          <w:i/>
          <w:lang w:eastAsia="zh-CN"/>
        </w:rPr>
        <w:lastRenderedPageBreak/>
        <w:t xml:space="preserve">enable-Type2-HARQ-ACK-mux-forDLassignmentafterULgrant </w:t>
      </w:r>
      <w:r w:rsidRPr="0033132E">
        <w:rPr>
          <w:lang w:eastAsia="zh-CN"/>
        </w:rPr>
        <w:t>for Type 2 codebook</w:t>
      </w:r>
      <w:r>
        <w:rPr>
          <w:lang w:eastAsia="zh-CN"/>
        </w:rPr>
        <w:t>,</w:t>
      </w:r>
      <w:r w:rsidRPr="0033132E">
        <w:rPr>
          <w:lang w:eastAsia="zh-CN"/>
        </w:rPr>
        <w:t xml:space="preserve"> and</w:t>
      </w:r>
    </w:p>
    <w:p w14:paraId="76BD422A" w14:textId="77777777" w:rsidR="0004089B" w:rsidRPr="008739A2" w:rsidRDefault="0004089B" w:rsidP="0004089B">
      <w:pPr>
        <w:pStyle w:val="ListParagraph"/>
        <w:numPr>
          <w:ilvl w:val="0"/>
          <w:numId w:val="39"/>
        </w:numPr>
        <w:ind w:firstLineChars="0"/>
        <w:rPr>
          <w:rFonts w:eastAsia="MS Mincho" w:cs="Arial"/>
          <w:szCs w:val="18"/>
          <w:lang w:eastAsia="ja-JP"/>
        </w:rPr>
      </w:pPr>
      <w:r w:rsidRPr="008739A2">
        <w:rPr>
          <w:i/>
          <w:lang w:eastAsia="zh-CN"/>
        </w:rPr>
        <w:t>enable-Type3-HARQ-ACK-mux-forDLassignmentafterULgrant</w:t>
      </w:r>
      <w:r>
        <w:rPr>
          <w:lang w:eastAsia="zh-CN"/>
        </w:rPr>
        <w:t xml:space="preserve"> </w:t>
      </w:r>
      <w:r w:rsidRPr="0033132E">
        <w:rPr>
          <w:lang w:eastAsia="zh-CN"/>
        </w:rPr>
        <w:t xml:space="preserve">for Type </w:t>
      </w:r>
      <w:r>
        <w:rPr>
          <w:lang w:eastAsia="zh-CN"/>
        </w:rPr>
        <w:t>3</w:t>
      </w:r>
      <w:r w:rsidRPr="0033132E">
        <w:rPr>
          <w:lang w:eastAsia="zh-CN"/>
        </w:rPr>
        <w:t xml:space="preserve"> codebook</w:t>
      </w:r>
      <w:r>
        <w:rPr>
          <w:lang w:eastAsia="zh-CN"/>
        </w:rPr>
        <w:t>.</w:t>
      </w:r>
    </w:p>
    <w:p w14:paraId="308AC9A6" w14:textId="77777777" w:rsidR="0038287F" w:rsidRPr="007425AF" w:rsidRDefault="0038287F" w:rsidP="0038287F">
      <w:pPr>
        <w:rPr>
          <w:b/>
          <w:u w:val="single"/>
          <w:lang w:eastAsia="zh-CN"/>
        </w:rPr>
      </w:pPr>
      <w:r>
        <w:rPr>
          <w:b/>
          <w:u w:val="single"/>
          <w:lang w:eastAsia="zh-CN"/>
        </w:rPr>
        <w:t>Parameters</w:t>
      </w:r>
      <w:r w:rsidRPr="00FF523E">
        <w:rPr>
          <w:b/>
          <w:u w:val="single"/>
          <w:lang w:eastAsia="zh-CN"/>
        </w:rPr>
        <w:t xml:space="preserve"> for </w:t>
      </w:r>
      <w:r>
        <w:rPr>
          <w:b/>
          <w:u w:val="single"/>
          <w:lang w:eastAsia="zh-CN"/>
        </w:rPr>
        <w:t xml:space="preserve">determining </w:t>
      </w:r>
      <w:r w:rsidRPr="007425AF">
        <w:rPr>
          <w:b/>
          <w:u w:val="single"/>
          <w:lang w:eastAsia="zh-CN"/>
        </w:rPr>
        <w:t>a different PUCCH resource</w:t>
      </w:r>
    </w:p>
    <w:p w14:paraId="5766BCE5" w14:textId="0F7FBA27" w:rsidR="0038287F" w:rsidRDefault="0004089B" w:rsidP="0038287F">
      <w:pPr>
        <w:rPr>
          <w:lang w:eastAsia="zh-CN"/>
        </w:rPr>
      </w:pPr>
      <w:r>
        <w:rPr>
          <w:lang w:eastAsia="zh-CN"/>
        </w:rPr>
        <w:t>Due to the accumulation of HARQ-ACK information bits after a UL grant</w:t>
      </w:r>
      <w:r w:rsidR="0038287F">
        <w:rPr>
          <w:lang w:eastAsia="zh-CN"/>
        </w:rPr>
        <w:t>, the increasing HARQ-ACK payload size might result in PUCCH resource changing</w:t>
      </w:r>
      <w:r w:rsidR="000F6B37">
        <w:rPr>
          <w:lang w:eastAsia="zh-CN"/>
        </w:rPr>
        <w:t>,</w:t>
      </w:r>
      <w:r w:rsidR="000F6B37" w:rsidRPr="000F6B37">
        <w:rPr>
          <w:lang w:eastAsia="zh-CN"/>
        </w:rPr>
        <w:t xml:space="preserve"> </w:t>
      </w:r>
      <w:r w:rsidR="000F6B37">
        <w:rPr>
          <w:lang w:eastAsia="zh-CN"/>
        </w:rPr>
        <w:t>i.e. a different PUCCH resource from the one only includes HARQ-ACK associated with the PDSCH reception(s) scheduled before the UL grant might be determined</w:t>
      </w:r>
      <w:r w:rsidR="0038287F">
        <w:rPr>
          <w:lang w:eastAsia="zh-CN"/>
        </w:rPr>
        <w:t xml:space="preserve">. To enable such behavior, a new RRC parameter </w:t>
      </w:r>
      <w:r w:rsidR="0038287F" w:rsidRPr="0033132E">
        <w:rPr>
          <w:i/>
          <w:lang w:eastAsia="zh-CN"/>
        </w:rPr>
        <w:t>enable-different-</w:t>
      </w:r>
      <w:proofErr w:type="spellStart"/>
      <w:r w:rsidR="0038287F" w:rsidRPr="0033132E">
        <w:rPr>
          <w:i/>
          <w:lang w:eastAsia="zh-CN"/>
        </w:rPr>
        <w:t>PUCCHresource</w:t>
      </w:r>
      <w:proofErr w:type="spellEnd"/>
      <w:r w:rsidR="0038287F">
        <w:rPr>
          <w:lang w:eastAsia="zh-CN"/>
        </w:rPr>
        <w:t xml:space="preserve"> </w:t>
      </w:r>
      <w:r>
        <w:rPr>
          <w:rFonts w:hint="eastAsia"/>
          <w:lang w:eastAsia="zh-CN"/>
        </w:rPr>
        <w:t>is</w:t>
      </w:r>
      <w:r>
        <w:rPr>
          <w:lang w:eastAsia="zh-CN"/>
        </w:rPr>
        <w:t xml:space="preserve"> to be specified</w:t>
      </w:r>
      <w:r w:rsidR="0038287F">
        <w:rPr>
          <w:lang w:eastAsia="zh-CN"/>
        </w:rPr>
        <w:t>.</w:t>
      </w:r>
    </w:p>
    <w:p w14:paraId="1B6983FF" w14:textId="77777777" w:rsidR="0038287F" w:rsidRPr="007425AF" w:rsidRDefault="0038287F" w:rsidP="0038287F">
      <w:pPr>
        <w:rPr>
          <w:b/>
          <w:u w:val="single"/>
          <w:lang w:eastAsia="zh-CN"/>
        </w:rPr>
      </w:pPr>
      <w:r>
        <w:rPr>
          <w:b/>
          <w:u w:val="single"/>
          <w:lang w:eastAsia="zh-CN"/>
        </w:rPr>
        <w:t>Parameters</w:t>
      </w:r>
      <w:r w:rsidRPr="007425AF">
        <w:rPr>
          <w:b/>
          <w:u w:val="single"/>
          <w:lang w:eastAsia="zh-CN"/>
        </w:rPr>
        <w:t xml:space="preserve"> for determining different </w:t>
      </w:r>
      <w:r>
        <w:rPr>
          <w:b/>
          <w:u w:val="single"/>
          <w:lang w:eastAsia="zh-CN"/>
        </w:rPr>
        <w:t>HARQ-ACK codebook size</w:t>
      </w:r>
    </w:p>
    <w:p w14:paraId="39F98935" w14:textId="59802518" w:rsidR="0038287F" w:rsidRPr="001D5091" w:rsidRDefault="0038287F" w:rsidP="0038287F">
      <w:pPr>
        <w:rPr>
          <w:lang w:eastAsia="zh-CN"/>
        </w:rPr>
      </w:pPr>
      <w:r>
        <w:rPr>
          <w:lang w:eastAsia="zh-CN"/>
        </w:rPr>
        <w:t xml:space="preserve">Similarly, codebook sizes can be </w:t>
      </w:r>
      <w:r w:rsidR="000F6B37">
        <w:rPr>
          <w:lang w:eastAsia="zh-CN"/>
        </w:rPr>
        <w:t>different before and after the UL grant,</w:t>
      </w:r>
      <w:r>
        <w:rPr>
          <w:lang w:eastAsia="zh-CN"/>
        </w:rPr>
        <w:t xml:space="preserve"> if more HARQ-ACK information are included. A parameter is defined as </w:t>
      </w:r>
      <w:r w:rsidRPr="0033132E">
        <w:rPr>
          <w:i/>
          <w:lang w:eastAsia="zh-CN"/>
        </w:rPr>
        <w:t>enable-different-</w:t>
      </w:r>
      <w:proofErr w:type="spellStart"/>
      <w:r w:rsidRPr="0033132E">
        <w:rPr>
          <w:i/>
          <w:lang w:eastAsia="zh-CN"/>
        </w:rPr>
        <w:t>Cbsize</w:t>
      </w:r>
      <w:proofErr w:type="spellEnd"/>
      <w:r>
        <w:rPr>
          <w:lang w:eastAsia="zh-CN"/>
        </w:rPr>
        <w:t>.</w:t>
      </w:r>
    </w:p>
    <w:p w14:paraId="5C68275A" w14:textId="22BA838F" w:rsidR="00A30AD0" w:rsidRDefault="00A30AD0" w:rsidP="004A7EFC">
      <w:pPr>
        <w:rPr>
          <w:b/>
          <w:i/>
          <w:lang w:eastAsia="zh-CN"/>
        </w:rPr>
      </w:pPr>
    </w:p>
    <w:p w14:paraId="6855D2F3" w14:textId="45A2E6A6" w:rsidR="00A30AD0" w:rsidRPr="005D6430" w:rsidRDefault="00A30AD0" w:rsidP="004A7EFC">
      <w:pPr>
        <w:rPr>
          <w:lang w:eastAsia="zh-CN"/>
        </w:rPr>
      </w:pPr>
      <w:r w:rsidRPr="005D6430">
        <w:rPr>
          <w:lang w:eastAsia="zh-CN"/>
        </w:rPr>
        <w:t>For summary, high layer parameters are explained in the table below</w:t>
      </w:r>
      <w:r w:rsidR="005D6430">
        <w:rPr>
          <w:lang w:eastAsia="zh-CN"/>
        </w:rPr>
        <w:t>.</w:t>
      </w:r>
    </w:p>
    <w:p w14:paraId="5998E903" w14:textId="24070E74" w:rsidR="005D6430" w:rsidRDefault="005D6430" w:rsidP="004A7EFC">
      <w:pPr>
        <w:rPr>
          <w:b/>
          <w:i/>
          <w:lang w:eastAsia="zh-CN"/>
        </w:rPr>
      </w:pPr>
      <w:r>
        <w:rPr>
          <w:b/>
          <w:i/>
          <w:lang w:eastAsia="zh-CN"/>
        </w:rPr>
        <w:br w:type="page"/>
      </w:r>
    </w:p>
    <w:p w14:paraId="3A26B322" w14:textId="77777777" w:rsidR="005D6430" w:rsidRDefault="005D6430" w:rsidP="004A7EFC">
      <w:pPr>
        <w:rPr>
          <w:b/>
          <w:i/>
          <w:lang w:eastAsia="zh-CN"/>
        </w:rPr>
        <w:sectPr w:rsidR="005D6430" w:rsidSect="0004089B">
          <w:pgSz w:w="11909" w:h="16834" w:code="9"/>
          <w:pgMar w:top="850" w:right="1138" w:bottom="562" w:left="1138" w:header="720" w:footer="720" w:gutter="0"/>
          <w:cols w:space="720"/>
          <w:noEndnote/>
          <w:docGrid w:linePitch="299"/>
        </w:sectPr>
      </w:pPr>
    </w:p>
    <w:tbl>
      <w:tblPr>
        <w:tblW w:w="15451" w:type="dxa"/>
        <w:tblInd w:w="-5" w:type="dxa"/>
        <w:tblLook w:val="04A0" w:firstRow="1" w:lastRow="0" w:firstColumn="1" w:lastColumn="0" w:noHBand="0" w:noVBand="1"/>
      </w:tblPr>
      <w:tblGrid>
        <w:gridCol w:w="537"/>
        <w:gridCol w:w="863"/>
        <w:gridCol w:w="950"/>
        <w:gridCol w:w="650"/>
        <w:gridCol w:w="590"/>
        <w:gridCol w:w="570"/>
        <w:gridCol w:w="804"/>
        <w:gridCol w:w="743"/>
        <w:gridCol w:w="1791"/>
        <w:gridCol w:w="1392"/>
        <w:gridCol w:w="724"/>
        <w:gridCol w:w="623"/>
        <w:gridCol w:w="683"/>
        <w:gridCol w:w="1083"/>
        <w:gridCol w:w="963"/>
        <w:gridCol w:w="2485"/>
      </w:tblGrid>
      <w:tr w:rsidR="005D6430" w:rsidRPr="005D6430" w14:paraId="012CA0BF" w14:textId="77777777" w:rsidTr="005D6430">
        <w:trPr>
          <w:trHeight w:val="760"/>
        </w:trPr>
        <w:tc>
          <w:tcPr>
            <w:tcW w:w="53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B45D9F"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lastRenderedPageBreak/>
              <w:t>WI code</w:t>
            </w:r>
          </w:p>
        </w:tc>
        <w:tc>
          <w:tcPr>
            <w:tcW w:w="863" w:type="dxa"/>
            <w:tcBorders>
              <w:top w:val="single" w:sz="4" w:space="0" w:color="auto"/>
              <w:left w:val="nil"/>
              <w:bottom w:val="single" w:sz="4" w:space="0" w:color="auto"/>
              <w:right w:val="single" w:sz="4" w:space="0" w:color="auto"/>
            </w:tcBorders>
            <w:shd w:val="clear" w:color="000000" w:fill="00B0F0"/>
            <w:vAlign w:val="center"/>
            <w:hideMark/>
          </w:tcPr>
          <w:p w14:paraId="4A7867EA"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Sub-feature group</w:t>
            </w:r>
          </w:p>
        </w:tc>
        <w:tc>
          <w:tcPr>
            <w:tcW w:w="950" w:type="dxa"/>
            <w:tcBorders>
              <w:top w:val="single" w:sz="4" w:space="0" w:color="auto"/>
              <w:left w:val="nil"/>
              <w:bottom w:val="single" w:sz="4" w:space="0" w:color="auto"/>
              <w:right w:val="single" w:sz="4" w:space="0" w:color="auto"/>
            </w:tcBorders>
            <w:shd w:val="clear" w:color="000000" w:fill="00B0F0"/>
            <w:vAlign w:val="center"/>
            <w:hideMark/>
          </w:tcPr>
          <w:p w14:paraId="08375CF8"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RAN1 specification</w:t>
            </w:r>
          </w:p>
        </w:tc>
        <w:tc>
          <w:tcPr>
            <w:tcW w:w="650" w:type="dxa"/>
            <w:tcBorders>
              <w:top w:val="single" w:sz="4" w:space="0" w:color="auto"/>
              <w:left w:val="nil"/>
              <w:bottom w:val="single" w:sz="4" w:space="0" w:color="auto"/>
              <w:right w:val="single" w:sz="4" w:space="0" w:color="auto"/>
            </w:tcBorders>
            <w:shd w:val="clear" w:color="000000" w:fill="00B0F0"/>
            <w:vAlign w:val="center"/>
            <w:hideMark/>
          </w:tcPr>
          <w:p w14:paraId="4EF64B38"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Section</w:t>
            </w:r>
          </w:p>
        </w:tc>
        <w:tc>
          <w:tcPr>
            <w:tcW w:w="590" w:type="dxa"/>
            <w:tcBorders>
              <w:top w:val="single" w:sz="4" w:space="0" w:color="auto"/>
              <w:left w:val="nil"/>
              <w:bottom w:val="single" w:sz="4" w:space="0" w:color="auto"/>
              <w:right w:val="single" w:sz="4" w:space="0" w:color="auto"/>
            </w:tcBorders>
            <w:shd w:val="clear" w:color="000000" w:fill="00B0F0"/>
            <w:vAlign w:val="center"/>
            <w:hideMark/>
          </w:tcPr>
          <w:p w14:paraId="59B074DD"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RAN2 Parent IE</w:t>
            </w:r>
          </w:p>
        </w:tc>
        <w:tc>
          <w:tcPr>
            <w:tcW w:w="570" w:type="dxa"/>
            <w:tcBorders>
              <w:top w:val="single" w:sz="4" w:space="0" w:color="auto"/>
              <w:left w:val="nil"/>
              <w:bottom w:val="single" w:sz="4" w:space="0" w:color="auto"/>
              <w:right w:val="single" w:sz="4" w:space="0" w:color="auto"/>
            </w:tcBorders>
            <w:shd w:val="clear" w:color="000000" w:fill="00B0F0"/>
            <w:vAlign w:val="center"/>
            <w:hideMark/>
          </w:tcPr>
          <w:p w14:paraId="61803419"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RAN2 ASN.1 name</w:t>
            </w:r>
          </w:p>
        </w:tc>
        <w:tc>
          <w:tcPr>
            <w:tcW w:w="804" w:type="dxa"/>
            <w:tcBorders>
              <w:top w:val="single" w:sz="4" w:space="0" w:color="auto"/>
              <w:left w:val="nil"/>
              <w:bottom w:val="single" w:sz="4" w:space="0" w:color="auto"/>
              <w:right w:val="single" w:sz="4" w:space="0" w:color="auto"/>
            </w:tcBorders>
            <w:shd w:val="clear" w:color="000000" w:fill="00B0F0"/>
            <w:vAlign w:val="center"/>
            <w:hideMark/>
          </w:tcPr>
          <w:p w14:paraId="0E5B9FEA"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Parameter name in the spec</w:t>
            </w:r>
          </w:p>
        </w:tc>
        <w:tc>
          <w:tcPr>
            <w:tcW w:w="743" w:type="dxa"/>
            <w:tcBorders>
              <w:top w:val="single" w:sz="4" w:space="0" w:color="auto"/>
              <w:left w:val="nil"/>
              <w:bottom w:val="single" w:sz="4" w:space="0" w:color="auto"/>
              <w:right w:val="single" w:sz="4" w:space="0" w:color="auto"/>
            </w:tcBorders>
            <w:shd w:val="clear" w:color="000000" w:fill="00B0F0"/>
            <w:vAlign w:val="center"/>
            <w:hideMark/>
          </w:tcPr>
          <w:p w14:paraId="6C129F02"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hideMark/>
          </w:tcPr>
          <w:p w14:paraId="216B091D"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Parameter name in the text</w:t>
            </w:r>
          </w:p>
        </w:tc>
        <w:tc>
          <w:tcPr>
            <w:tcW w:w="1617" w:type="dxa"/>
            <w:tcBorders>
              <w:top w:val="single" w:sz="4" w:space="0" w:color="auto"/>
              <w:left w:val="nil"/>
              <w:bottom w:val="single" w:sz="4" w:space="0" w:color="auto"/>
              <w:right w:val="single" w:sz="4" w:space="0" w:color="auto"/>
            </w:tcBorders>
            <w:shd w:val="clear" w:color="000000" w:fill="00B0F0"/>
            <w:vAlign w:val="center"/>
            <w:hideMark/>
          </w:tcPr>
          <w:p w14:paraId="22495AE7"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Description</w:t>
            </w:r>
          </w:p>
        </w:tc>
        <w:tc>
          <w:tcPr>
            <w:tcW w:w="724" w:type="dxa"/>
            <w:tcBorders>
              <w:top w:val="single" w:sz="4" w:space="0" w:color="auto"/>
              <w:left w:val="nil"/>
              <w:bottom w:val="single" w:sz="4" w:space="0" w:color="auto"/>
              <w:right w:val="single" w:sz="4" w:space="0" w:color="auto"/>
            </w:tcBorders>
            <w:shd w:val="clear" w:color="000000" w:fill="00B0F0"/>
            <w:vAlign w:val="center"/>
            <w:hideMark/>
          </w:tcPr>
          <w:p w14:paraId="733120B0"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Value range</w:t>
            </w:r>
          </w:p>
        </w:tc>
        <w:tc>
          <w:tcPr>
            <w:tcW w:w="623" w:type="dxa"/>
            <w:tcBorders>
              <w:top w:val="single" w:sz="4" w:space="0" w:color="auto"/>
              <w:left w:val="nil"/>
              <w:bottom w:val="single" w:sz="4" w:space="0" w:color="auto"/>
              <w:right w:val="single" w:sz="4" w:space="0" w:color="auto"/>
            </w:tcBorders>
            <w:shd w:val="clear" w:color="000000" w:fill="00B0F0"/>
            <w:vAlign w:val="center"/>
            <w:hideMark/>
          </w:tcPr>
          <w:p w14:paraId="3EBFF8CC"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Default value aspect</w:t>
            </w:r>
          </w:p>
        </w:tc>
        <w:tc>
          <w:tcPr>
            <w:tcW w:w="683" w:type="dxa"/>
            <w:tcBorders>
              <w:top w:val="single" w:sz="4" w:space="0" w:color="auto"/>
              <w:left w:val="nil"/>
              <w:bottom w:val="single" w:sz="4" w:space="0" w:color="auto"/>
              <w:right w:val="single" w:sz="4" w:space="0" w:color="auto"/>
            </w:tcBorders>
            <w:shd w:val="clear" w:color="000000" w:fill="00B0F0"/>
            <w:vAlign w:val="center"/>
            <w:hideMark/>
          </w:tcPr>
          <w:p w14:paraId="65B8837F"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Per (UE, cell, TRP, …)</w:t>
            </w:r>
          </w:p>
        </w:tc>
        <w:tc>
          <w:tcPr>
            <w:tcW w:w="1083" w:type="dxa"/>
            <w:tcBorders>
              <w:top w:val="single" w:sz="4" w:space="0" w:color="auto"/>
              <w:left w:val="nil"/>
              <w:bottom w:val="single" w:sz="4" w:space="0" w:color="auto"/>
              <w:right w:val="single" w:sz="4" w:space="0" w:color="auto"/>
            </w:tcBorders>
            <w:shd w:val="clear" w:color="000000" w:fill="00B0F0"/>
            <w:vAlign w:val="center"/>
            <w:hideMark/>
          </w:tcPr>
          <w:p w14:paraId="729993B9"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Required for initial access or IDLE/INACTIVE</w:t>
            </w:r>
          </w:p>
        </w:tc>
        <w:tc>
          <w:tcPr>
            <w:tcW w:w="963" w:type="dxa"/>
            <w:tcBorders>
              <w:top w:val="single" w:sz="4" w:space="0" w:color="auto"/>
              <w:left w:val="nil"/>
              <w:bottom w:val="single" w:sz="4" w:space="0" w:color="auto"/>
              <w:right w:val="single" w:sz="4" w:space="0" w:color="auto"/>
            </w:tcBorders>
            <w:shd w:val="clear" w:color="000000" w:fill="00B0F0"/>
            <w:vAlign w:val="center"/>
            <w:hideMark/>
          </w:tcPr>
          <w:p w14:paraId="08C51254"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Specification</w:t>
            </w:r>
          </w:p>
        </w:tc>
        <w:tc>
          <w:tcPr>
            <w:tcW w:w="2954" w:type="dxa"/>
            <w:tcBorders>
              <w:top w:val="single" w:sz="4" w:space="0" w:color="auto"/>
              <w:left w:val="single" w:sz="4" w:space="0" w:color="auto"/>
              <w:bottom w:val="single" w:sz="4" w:space="0" w:color="auto"/>
              <w:right w:val="nil"/>
            </w:tcBorders>
            <w:shd w:val="clear" w:color="000000" w:fill="00B0F0"/>
            <w:vAlign w:val="center"/>
            <w:hideMark/>
          </w:tcPr>
          <w:p w14:paraId="0B5CC635" w14:textId="77777777" w:rsidR="005D6430" w:rsidRPr="005D6430" w:rsidRDefault="005D6430" w:rsidP="005D6430">
            <w:pPr>
              <w:autoSpaceDE/>
              <w:autoSpaceDN/>
              <w:adjustRightInd/>
              <w:snapToGrid/>
              <w:spacing w:after="0"/>
              <w:jc w:val="left"/>
              <w:rPr>
                <w:rFonts w:ascii="Arial" w:eastAsia="Times New Roman" w:hAnsi="Arial" w:cs="Arial"/>
                <w:b/>
                <w:bCs/>
                <w:color w:val="FFFFFF"/>
                <w:sz w:val="12"/>
                <w:szCs w:val="16"/>
                <w:lang w:eastAsia="zh-CN"/>
              </w:rPr>
            </w:pPr>
            <w:r w:rsidRPr="005D6430">
              <w:rPr>
                <w:rFonts w:ascii="Arial" w:eastAsia="Times New Roman" w:hAnsi="Arial" w:cs="Arial"/>
                <w:b/>
                <w:bCs/>
                <w:color w:val="FFFFFF"/>
                <w:sz w:val="12"/>
                <w:szCs w:val="16"/>
                <w:lang w:eastAsia="zh-CN"/>
              </w:rPr>
              <w:t>Comment</w:t>
            </w:r>
          </w:p>
        </w:tc>
      </w:tr>
      <w:tr w:rsidR="005D6430" w:rsidRPr="005D6430" w14:paraId="0569B8DA" w14:textId="77777777" w:rsidTr="005D6430">
        <w:trPr>
          <w:trHeight w:val="6807"/>
        </w:trPr>
        <w:tc>
          <w:tcPr>
            <w:tcW w:w="537" w:type="dxa"/>
            <w:tcBorders>
              <w:top w:val="nil"/>
              <w:left w:val="single" w:sz="4" w:space="0" w:color="auto"/>
              <w:bottom w:val="nil"/>
              <w:right w:val="single" w:sz="4" w:space="0" w:color="auto"/>
            </w:tcBorders>
            <w:shd w:val="clear" w:color="auto" w:fill="auto"/>
            <w:vAlign w:val="center"/>
            <w:hideMark/>
          </w:tcPr>
          <w:p w14:paraId="281F696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TEI18</w:t>
            </w:r>
          </w:p>
        </w:tc>
        <w:tc>
          <w:tcPr>
            <w:tcW w:w="863" w:type="dxa"/>
            <w:tcBorders>
              <w:top w:val="nil"/>
              <w:left w:val="nil"/>
              <w:bottom w:val="nil"/>
              <w:right w:val="single" w:sz="4" w:space="0" w:color="auto"/>
            </w:tcBorders>
            <w:shd w:val="clear" w:color="auto" w:fill="auto"/>
            <w:vAlign w:val="center"/>
            <w:hideMark/>
          </w:tcPr>
          <w:p w14:paraId="581C2A4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Multiplex Type-1 HARQ-ACK codebook for PDSCH scheduling after UL grant on PUSCH</w:t>
            </w:r>
          </w:p>
        </w:tc>
        <w:tc>
          <w:tcPr>
            <w:tcW w:w="950" w:type="dxa"/>
            <w:tcBorders>
              <w:top w:val="nil"/>
              <w:left w:val="nil"/>
              <w:bottom w:val="nil"/>
              <w:right w:val="single" w:sz="4" w:space="0" w:color="auto"/>
            </w:tcBorders>
            <w:shd w:val="clear" w:color="auto" w:fill="auto"/>
            <w:vAlign w:val="center"/>
            <w:hideMark/>
          </w:tcPr>
          <w:p w14:paraId="4B8DD2AC"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38.213</w:t>
            </w:r>
          </w:p>
        </w:tc>
        <w:tc>
          <w:tcPr>
            <w:tcW w:w="650" w:type="dxa"/>
            <w:tcBorders>
              <w:top w:val="nil"/>
              <w:left w:val="nil"/>
              <w:bottom w:val="nil"/>
              <w:right w:val="single" w:sz="4" w:space="0" w:color="auto"/>
            </w:tcBorders>
            <w:shd w:val="clear" w:color="auto" w:fill="auto"/>
            <w:vAlign w:val="center"/>
            <w:hideMark/>
          </w:tcPr>
          <w:p w14:paraId="1AD7E48E"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90" w:type="dxa"/>
            <w:tcBorders>
              <w:top w:val="nil"/>
              <w:left w:val="nil"/>
              <w:bottom w:val="nil"/>
              <w:right w:val="single" w:sz="4" w:space="0" w:color="auto"/>
            </w:tcBorders>
            <w:shd w:val="clear" w:color="auto" w:fill="auto"/>
            <w:vAlign w:val="center"/>
            <w:hideMark/>
          </w:tcPr>
          <w:p w14:paraId="6767EDC8"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70" w:type="dxa"/>
            <w:tcBorders>
              <w:top w:val="nil"/>
              <w:left w:val="nil"/>
              <w:bottom w:val="nil"/>
              <w:right w:val="single" w:sz="4" w:space="0" w:color="auto"/>
            </w:tcBorders>
            <w:shd w:val="clear" w:color="auto" w:fill="auto"/>
            <w:vAlign w:val="center"/>
            <w:hideMark/>
          </w:tcPr>
          <w:p w14:paraId="1919F577"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804" w:type="dxa"/>
            <w:tcBorders>
              <w:top w:val="nil"/>
              <w:left w:val="nil"/>
              <w:bottom w:val="nil"/>
              <w:right w:val="single" w:sz="4" w:space="0" w:color="auto"/>
            </w:tcBorders>
            <w:shd w:val="clear" w:color="auto" w:fill="auto"/>
            <w:vAlign w:val="center"/>
            <w:hideMark/>
          </w:tcPr>
          <w:p w14:paraId="13EA879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743" w:type="dxa"/>
            <w:tcBorders>
              <w:top w:val="nil"/>
              <w:left w:val="nil"/>
              <w:bottom w:val="nil"/>
              <w:right w:val="single" w:sz="4" w:space="0" w:color="auto"/>
            </w:tcBorders>
            <w:shd w:val="clear" w:color="auto" w:fill="auto"/>
            <w:vAlign w:val="center"/>
            <w:hideMark/>
          </w:tcPr>
          <w:p w14:paraId="27613A0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1097" w:type="dxa"/>
            <w:tcBorders>
              <w:top w:val="nil"/>
              <w:left w:val="nil"/>
              <w:bottom w:val="nil"/>
              <w:right w:val="single" w:sz="4" w:space="0" w:color="auto"/>
            </w:tcBorders>
            <w:shd w:val="clear" w:color="auto" w:fill="auto"/>
            <w:vAlign w:val="center"/>
            <w:hideMark/>
          </w:tcPr>
          <w:p w14:paraId="57FCB80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enable-Type1-HARQ-ACK-mux-forDLassignmentafterULgrant</w:t>
            </w:r>
          </w:p>
        </w:tc>
        <w:tc>
          <w:tcPr>
            <w:tcW w:w="1617" w:type="dxa"/>
            <w:tcBorders>
              <w:top w:val="nil"/>
              <w:left w:val="nil"/>
              <w:bottom w:val="nil"/>
              <w:right w:val="single" w:sz="4" w:space="0" w:color="auto"/>
            </w:tcBorders>
            <w:shd w:val="clear" w:color="auto" w:fill="auto"/>
            <w:vAlign w:val="center"/>
            <w:hideMark/>
          </w:tcPr>
          <w:p w14:paraId="152D8E7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w:t>
            </w:r>
          </w:p>
        </w:tc>
        <w:tc>
          <w:tcPr>
            <w:tcW w:w="724" w:type="dxa"/>
            <w:tcBorders>
              <w:top w:val="nil"/>
              <w:left w:val="nil"/>
              <w:bottom w:val="nil"/>
              <w:right w:val="single" w:sz="4" w:space="0" w:color="auto"/>
            </w:tcBorders>
            <w:shd w:val="clear" w:color="auto" w:fill="auto"/>
            <w:vAlign w:val="center"/>
            <w:hideMark/>
          </w:tcPr>
          <w:p w14:paraId="0FBF0024"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w:t>
            </w:r>
          </w:p>
        </w:tc>
        <w:tc>
          <w:tcPr>
            <w:tcW w:w="623" w:type="dxa"/>
            <w:tcBorders>
              <w:top w:val="nil"/>
              <w:left w:val="nil"/>
              <w:bottom w:val="nil"/>
              <w:right w:val="single" w:sz="4" w:space="0" w:color="auto"/>
            </w:tcBorders>
            <w:shd w:val="clear" w:color="auto" w:fill="auto"/>
            <w:vAlign w:val="center"/>
            <w:hideMark/>
          </w:tcPr>
          <w:p w14:paraId="2D750C3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683" w:type="dxa"/>
            <w:tcBorders>
              <w:top w:val="nil"/>
              <w:left w:val="nil"/>
              <w:bottom w:val="nil"/>
              <w:right w:val="single" w:sz="4" w:space="0" w:color="auto"/>
            </w:tcBorders>
            <w:shd w:val="clear" w:color="auto" w:fill="auto"/>
            <w:vAlign w:val="center"/>
            <w:hideMark/>
          </w:tcPr>
          <w:p w14:paraId="7E618698"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Per UE</w:t>
            </w:r>
          </w:p>
        </w:tc>
        <w:tc>
          <w:tcPr>
            <w:tcW w:w="1083" w:type="dxa"/>
            <w:tcBorders>
              <w:top w:val="nil"/>
              <w:left w:val="nil"/>
              <w:bottom w:val="nil"/>
              <w:right w:val="single" w:sz="4" w:space="0" w:color="auto"/>
            </w:tcBorders>
            <w:shd w:val="clear" w:color="auto" w:fill="auto"/>
            <w:vAlign w:val="center"/>
            <w:hideMark/>
          </w:tcPr>
          <w:p w14:paraId="7E756A67"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963" w:type="dxa"/>
            <w:tcBorders>
              <w:top w:val="nil"/>
              <w:left w:val="nil"/>
              <w:bottom w:val="nil"/>
              <w:right w:val="single" w:sz="4" w:space="0" w:color="auto"/>
            </w:tcBorders>
            <w:shd w:val="clear" w:color="auto" w:fill="auto"/>
            <w:vAlign w:val="center"/>
            <w:hideMark/>
          </w:tcPr>
          <w:p w14:paraId="797FF4EA"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38.331</w:t>
            </w:r>
          </w:p>
        </w:tc>
        <w:tc>
          <w:tcPr>
            <w:tcW w:w="2954" w:type="dxa"/>
            <w:tcBorders>
              <w:top w:val="single" w:sz="4" w:space="0" w:color="auto"/>
              <w:left w:val="nil"/>
              <w:bottom w:val="nil"/>
              <w:right w:val="single" w:sz="4" w:space="0" w:color="auto"/>
            </w:tcBorders>
            <w:shd w:val="clear" w:color="auto" w:fill="auto"/>
            <w:vAlign w:val="center"/>
            <w:hideMark/>
          </w:tcPr>
          <w:p w14:paraId="3CE3ACD2"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b/>
                <w:bCs/>
                <w:color w:val="0000FF"/>
                <w:sz w:val="12"/>
                <w:szCs w:val="16"/>
                <w:lang w:eastAsia="zh-CN"/>
              </w:rPr>
              <w:t>Agreement</w:t>
            </w:r>
            <w:r w:rsidRPr="005D6430">
              <w:rPr>
                <w:rFonts w:ascii="Arial" w:eastAsia="Times New Roman" w:hAnsi="Arial" w:cs="Arial"/>
                <w:color w:val="0000FF"/>
                <w:sz w:val="12"/>
                <w:szCs w:val="16"/>
                <w:lang w:eastAsia="zh-CN"/>
              </w:rPr>
              <w:br/>
              <w:t>If UCI multiplexing of different priorities is not enabled, the restriction on scheduling PDSCH after UL grant is removed for the case of PUSCH with repetitions except the first repetition</w:t>
            </w:r>
            <w:r w:rsidRPr="005D6430">
              <w:rPr>
                <w:rFonts w:ascii="Arial" w:eastAsia="Times New Roman" w:hAnsi="Arial" w:cs="Arial"/>
                <w:color w:val="0000FF"/>
                <w:sz w:val="12"/>
                <w:szCs w:val="16"/>
                <w:lang w:eastAsia="zh-CN"/>
              </w:rPr>
              <w:br/>
              <w:t>UE generates Type-1 HARQ-ACK codebook according to the existing specification with the modification of setting the actual ‘ACK/NACK’ value corresponding to PDSCH(s) scheduled after the UL grant.</w:t>
            </w:r>
            <w:r w:rsidRPr="005D6430">
              <w:rPr>
                <w:rFonts w:ascii="Arial" w:eastAsia="Times New Roman" w:hAnsi="Arial" w:cs="Arial"/>
                <w:color w:val="0000FF"/>
                <w:sz w:val="12"/>
                <w:szCs w:val="16"/>
                <w:lang w:eastAsia="zh-CN"/>
              </w:rPr>
              <w:br/>
              <w:t>UE generates Type-2/3 HARQ-ACK codebook according to the existing specification.</w:t>
            </w:r>
            <w:r w:rsidRPr="005D6430">
              <w:rPr>
                <w:rFonts w:ascii="Arial" w:eastAsia="Times New Roman" w:hAnsi="Arial" w:cs="Arial"/>
                <w:color w:val="0000FF"/>
                <w:sz w:val="12"/>
                <w:szCs w:val="16"/>
                <w:lang w:eastAsia="zh-CN"/>
              </w:rPr>
              <w:br/>
              <w:t>For Type-2 CB, UL DAI is used for generating HARQ CB.</w:t>
            </w:r>
            <w:r w:rsidRPr="005D6430">
              <w:rPr>
                <w:rFonts w:ascii="Arial" w:eastAsia="Times New Roman" w:hAnsi="Arial" w:cs="Arial"/>
                <w:color w:val="0000FF"/>
                <w:sz w:val="12"/>
                <w:szCs w:val="16"/>
                <w:lang w:eastAsia="zh-CN"/>
              </w:rPr>
              <w:br/>
              <w:t xml:space="preserve">This feature is subject to separate UE capabilities for type-1, type-2, and type-3 codebooks. </w:t>
            </w:r>
            <w:r w:rsidRPr="005D6430">
              <w:rPr>
                <w:rFonts w:ascii="Arial" w:eastAsia="Times New Roman" w:hAnsi="Arial" w:cs="Arial"/>
                <w:color w:val="0000FF"/>
                <w:sz w:val="12"/>
                <w:szCs w:val="16"/>
                <w:lang w:eastAsia="zh-CN"/>
              </w:rPr>
              <w:br/>
              <w:t>RRC parameter(s) to configure the function of scheduling PDSCH after a UL DCI format and multiplexing associated HARQ on a PUSCH repetition except the first repetition are introduced in Rel-18.</w:t>
            </w:r>
            <w:r w:rsidRPr="005D6430">
              <w:rPr>
                <w:rFonts w:ascii="Arial" w:eastAsia="Times New Roman" w:hAnsi="Arial" w:cs="Arial"/>
                <w:color w:val="0000FF"/>
                <w:sz w:val="12"/>
                <w:szCs w:val="16"/>
                <w:lang w:eastAsia="zh-CN"/>
              </w:rPr>
              <w:br/>
              <w:t xml:space="preserve">Note: the number of PUSCH repetitions can be scheduled/configured by </w:t>
            </w:r>
            <w:proofErr w:type="spellStart"/>
            <w:r w:rsidRPr="005D6430">
              <w:rPr>
                <w:rFonts w:ascii="Arial" w:eastAsia="Times New Roman" w:hAnsi="Arial" w:cs="Arial"/>
                <w:color w:val="0000FF"/>
                <w:sz w:val="12"/>
                <w:szCs w:val="16"/>
                <w:lang w:eastAsia="zh-CN"/>
              </w:rPr>
              <w:t>gNB</w:t>
            </w:r>
            <w:proofErr w:type="spellEnd"/>
            <w:r w:rsidRPr="005D6430">
              <w:rPr>
                <w:rFonts w:ascii="Arial" w:eastAsia="Times New Roman" w:hAnsi="Arial" w:cs="Arial"/>
                <w:color w:val="0000FF"/>
                <w:sz w:val="12"/>
                <w:szCs w:val="16"/>
                <w:lang w:eastAsia="zh-CN"/>
              </w:rPr>
              <w:t>.</w:t>
            </w:r>
            <w:r w:rsidRPr="005D6430">
              <w:rPr>
                <w:rFonts w:ascii="Arial" w:eastAsia="Times New Roman" w:hAnsi="Arial" w:cs="Arial"/>
                <w:color w:val="0000FF"/>
                <w:sz w:val="12"/>
                <w:szCs w:val="16"/>
                <w:lang w:eastAsia="zh-CN"/>
              </w:rPr>
              <w:br/>
              <w:t>Note: same principle of current specification which UL DAI in UL grant is applied to each PUSCH repetition is reused.</w:t>
            </w:r>
            <w:r w:rsidRPr="005D6430">
              <w:rPr>
                <w:rFonts w:ascii="Arial" w:eastAsia="Times New Roman" w:hAnsi="Arial" w:cs="Arial"/>
                <w:color w:val="0000FF"/>
                <w:sz w:val="12"/>
                <w:szCs w:val="16"/>
                <w:lang w:eastAsia="zh-CN"/>
              </w:rPr>
              <w:br/>
              <w:t>The timeline specified in TS 38.213 Clause 9.2.5 are satisfied, i.e. T_(proc,1)^</w:t>
            </w:r>
            <w:proofErr w:type="spellStart"/>
            <w:r w:rsidRPr="005D6430">
              <w:rPr>
                <w:rFonts w:ascii="Arial" w:eastAsia="Times New Roman" w:hAnsi="Arial" w:cs="Arial"/>
                <w:color w:val="0000FF"/>
                <w:sz w:val="12"/>
                <w:szCs w:val="16"/>
                <w:lang w:eastAsia="zh-CN"/>
              </w:rPr>
              <w:t>muxbetween</w:t>
            </w:r>
            <w:proofErr w:type="spellEnd"/>
            <w:r w:rsidRPr="005D6430">
              <w:rPr>
                <w:rFonts w:ascii="Arial" w:eastAsia="Times New Roman" w:hAnsi="Arial" w:cs="Arial"/>
                <w:color w:val="0000FF"/>
                <w:sz w:val="12"/>
                <w:szCs w:val="16"/>
                <w:lang w:eastAsia="zh-CN"/>
              </w:rPr>
              <w:t xml:space="preserve"> the last PDSCH and PUCCH, T_(proc,2)^mux between the last PDCCH among UL grant /DL grant(s) and the earliest PUCCH or PUSCH  </w:t>
            </w:r>
            <w:r w:rsidRPr="005D6430">
              <w:rPr>
                <w:rFonts w:ascii="Arial" w:eastAsia="Times New Roman" w:hAnsi="Arial" w:cs="Arial"/>
                <w:color w:val="0000FF"/>
                <w:sz w:val="12"/>
                <w:szCs w:val="16"/>
                <w:lang w:eastAsia="zh-CN"/>
              </w:rPr>
              <w:br/>
              <w:t xml:space="preserve">Additional UE capabilities are introduced to support the following functions (UE will be configured by </w:t>
            </w:r>
            <w:proofErr w:type="spellStart"/>
            <w:r w:rsidRPr="005D6430">
              <w:rPr>
                <w:rFonts w:ascii="Arial" w:eastAsia="Times New Roman" w:hAnsi="Arial" w:cs="Arial"/>
                <w:color w:val="0000FF"/>
                <w:sz w:val="12"/>
                <w:szCs w:val="16"/>
                <w:lang w:eastAsia="zh-CN"/>
              </w:rPr>
              <w:t>gNB</w:t>
            </w:r>
            <w:proofErr w:type="spellEnd"/>
            <w:r w:rsidRPr="005D6430">
              <w:rPr>
                <w:rFonts w:ascii="Arial" w:eastAsia="Times New Roman" w:hAnsi="Arial" w:cs="Arial"/>
                <w:color w:val="0000FF"/>
                <w:sz w:val="12"/>
                <w:szCs w:val="16"/>
                <w:lang w:eastAsia="zh-CN"/>
              </w:rPr>
              <w:t xml:space="preserve"> to use the following features via RRC)</w:t>
            </w:r>
            <w:r w:rsidRPr="005D6430">
              <w:rPr>
                <w:rFonts w:ascii="Arial" w:eastAsia="Times New Roman" w:hAnsi="Arial" w:cs="Arial"/>
                <w:color w:val="0000FF"/>
                <w:sz w:val="12"/>
                <w:szCs w:val="16"/>
                <w:lang w:eastAsia="zh-CN"/>
              </w:rPr>
              <w:br/>
              <w:t>HARQ-ACK codebook size change on a PUCCH slot</w:t>
            </w:r>
            <w:r w:rsidRPr="005D6430">
              <w:rPr>
                <w:rFonts w:ascii="Arial" w:eastAsia="Times New Roman" w:hAnsi="Arial" w:cs="Arial"/>
                <w:color w:val="0000FF"/>
                <w:sz w:val="12"/>
                <w:szCs w:val="16"/>
                <w:lang w:eastAsia="zh-CN"/>
              </w:rPr>
              <w:br/>
              <w:t>PUCCH resource change on a PUCCH slot</w:t>
            </w:r>
          </w:p>
        </w:tc>
      </w:tr>
      <w:tr w:rsidR="005D6430" w:rsidRPr="005D6430" w14:paraId="090F3A50" w14:textId="77777777" w:rsidTr="005D6430">
        <w:trPr>
          <w:trHeight w:val="1587"/>
        </w:trPr>
        <w:tc>
          <w:tcPr>
            <w:tcW w:w="537" w:type="dxa"/>
            <w:tcBorders>
              <w:top w:val="single" w:sz="4" w:space="0" w:color="auto"/>
              <w:left w:val="single" w:sz="4" w:space="0" w:color="auto"/>
              <w:bottom w:val="nil"/>
              <w:right w:val="single" w:sz="4" w:space="0" w:color="auto"/>
            </w:tcBorders>
            <w:shd w:val="clear" w:color="auto" w:fill="auto"/>
            <w:vAlign w:val="center"/>
            <w:hideMark/>
          </w:tcPr>
          <w:p w14:paraId="43E53E64"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TEI18</w:t>
            </w:r>
          </w:p>
        </w:tc>
        <w:tc>
          <w:tcPr>
            <w:tcW w:w="863" w:type="dxa"/>
            <w:tcBorders>
              <w:top w:val="single" w:sz="4" w:space="0" w:color="auto"/>
              <w:left w:val="nil"/>
              <w:bottom w:val="nil"/>
              <w:right w:val="single" w:sz="4" w:space="0" w:color="auto"/>
            </w:tcBorders>
            <w:shd w:val="clear" w:color="auto" w:fill="auto"/>
            <w:vAlign w:val="center"/>
            <w:hideMark/>
          </w:tcPr>
          <w:p w14:paraId="4C9748D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Multiplex Type-2 HARQ-ACK codebook for PDSCH scheduling after UL grant on PUSCH</w:t>
            </w:r>
          </w:p>
        </w:tc>
        <w:tc>
          <w:tcPr>
            <w:tcW w:w="950" w:type="dxa"/>
            <w:tcBorders>
              <w:top w:val="single" w:sz="4" w:space="0" w:color="auto"/>
              <w:left w:val="nil"/>
              <w:bottom w:val="nil"/>
              <w:right w:val="single" w:sz="4" w:space="0" w:color="auto"/>
            </w:tcBorders>
            <w:shd w:val="clear" w:color="auto" w:fill="auto"/>
            <w:vAlign w:val="center"/>
            <w:hideMark/>
          </w:tcPr>
          <w:p w14:paraId="62D210A8"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38.213</w:t>
            </w:r>
          </w:p>
        </w:tc>
        <w:tc>
          <w:tcPr>
            <w:tcW w:w="650" w:type="dxa"/>
            <w:tcBorders>
              <w:top w:val="single" w:sz="4" w:space="0" w:color="auto"/>
              <w:left w:val="nil"/>
              <w:bottom w:val="nil"/>
              <w:right w:val="single" w:sz="4" w:space="0" w:color="auto"/>
            </w:tcBorders>
            <w:shd w:val="clear" w:color="auto" w:fill="auto"/>
            <w:vAlign w:val="center"/>
            <w:hideMark/>
          </w:tcPr>
          <w:p w14:paraId="2FD5F1D9"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90" w:type="dxa"/>
            <w:tcBorders>
              <w:top w:val="single" w:sz="4" w:space="0" w:color="auto"/>
              <w:left w:val="nil"/>
              <w:bottom w:val="nil"/>
              <w:right w:val="single" w:sz="4" w:space="0" w:color="auto"/>
            </w:tcBorders>
            <w:shd w:val="clear" w:color="auto" w:fill="auto"/>
            <w:vAlign w:val="center"/>
            <w:hideMark/>
          </w:tcPr>
          <w:p w14:paraId="3DABCC20"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70" w:type="dxa"/>
            <w:tcBorders>
              <w:top w:val="single" w:sz="4" w:space="0" w:color="auto"/>
              <w:left w:val="nil"/>
              <w:bottom w:val="nil"/>
              <w:right w:val="single" w:sz="4" w:space="0" w:color="auto"/>
            </w:tcBorders>
            <w:shd w:val="clear" w:color="auto" w:fill="auto"/>
            <w:vAlign w:val="center"/>
            <w:hideMark/>
          </w:tcPr>
          <w:p w14:paraId="02C2CD9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804" w:type="dxa"/>
            <w:tcBorders>
              <w:top w:val="single" w:sz="4" w:space="0" w:color="auto"/>
              <w:left w:val="nil"/>
              <w:bottom w:val="nil"/>
              <w:right w:val="single" w:sz="4" w:space="0" w:color="auto"/>
            </w:tcBorders>
            <w:shd w:val="clear" w:color="auto" w:fill="auto"/>
            <w:vAlign w:val="center"/>
            <w:hideMark/>
          </w:tcPr>
          <w:p w14:paraId="06566EF5"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743" w:type="dxa"/>
            <w:tcBorders>
              <w:top w:val="single" w:sz="4" w:space="0" w:color="auto"/>
              <w:left w:val="nil"/>
              <w:bottom w:val="nil"/>
              <w:right w:val="single" w:sz="4" w:space="0" w:color="auto"/>
            </w:tcBorders>
            <w:shd w:val="clear" w:color="auto" w:fill="auto"/>
            <w:vAlign w:val="center"/>
            <w:hideMark/>
          </w:tcPr>
          <w:p w14:paraId="3CEB5099"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1097" w:type="dxa"/>
            <w:tcBorders>
              <w:top w:val="single" w:sz="4" w:space="0" w:color="auto"/>
              <w:left w:val="nil"/>
              <w:bottom w:val="nil"/>
              <w:right w:val="single" w:sz="4" w:space="0" w:color="auto"/>
            </w:tcBorders>
            <w:shd w:val="clear" w:color="auto" w:fill="auto"/>
            <w:vAlign w:val="center"/>
            <w:hideMark/>
          </w:tcPr>
          <w:p w14:paraId="2A7FD2C5"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enable-Type2-HARQ-ACK-mux-forDLassignmentafterULgrant</w:t>
            </w:r>
          </w:p>
        </w:tc>
        <w:tc>
          <w:tcPr>
            <w:tcW w:w="1617" w:type="dxa"/>
            <w:tcBorders>
              <w:top w:val="single" w:sz="4" w:space="0" w:color="auto"/>
              <w:left w:val="nil"/>
              <w:bottom w:val="nil"/>
              <w:right w:val="single" w:sz="4" w:space="0" w:color="auto"/>
            </w:tcBorders>
            <w:shd w:val="clear" w:color="auto" w:fill="auto"/>
            <w:vAlign w:val="center"/>
            <w:hideMark/>
          </w:tcPr>
          <w:p w14:paraId="04C587E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xml:space="preserve">If enabled, UE multiplexes Type-2 HARQ-ACK codebook on a repetition of a PUSCH transmission other than a first repetition, where the HARQ-ACK codebook includes HARQ-ACK information associated with PDSCH reception(s) </w:t>
            </w:r>
            <w:r w:rsidRPr="005D6430">
              <w:rPr>
                <w:rFonts w:ascii="Arial" w:eastAsia="Times New Roman" w:hAnsi="Arial" w:cs="Arial"/>
                <w:color w:val="0000FF"/>
                <w:sz w:val="12"/>
                <w:szCs w:val="16"/>
                <w:lang w:eastAsia="zh-CN"/>
              </w:rPr>
              <w:lastRenderedPageBreak/>
              <w:t>scheduled after the UL grant scheduling the PUSCH transmission. See clause 9 in TS 38.213 [13].</w:t>
            </w:r>
          </w:p>
        </w:tc>
        <w:tc>
          <w:tcPr>
            <w:tcW w:w="724" w:type="dxa"/>
            <w:tcBorders>
              <w:top w:val="single" w:sz="4" w:space="0" w:color="auto"/>
              <w:left w:val="nil"/>
              <w:bottom w:val="nil"/>
              <w:right w:val="single" w:sz="4" w:space="0" w:color="auto"/>
            </w:tcBorders>
            <w:shd w:val="clear" w:color="auto" w:fill="auto"/>
            <w:vAlign w:val="center"/>
            <w:hideMark/>
          </w:tcPr>
          <w:p w14:paraId="28FBE643"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lastRenderedPageBreak/>
              <w:t>{enabled}</w:t>
            </w:r>
          </w:p>
        </w:tc>
        <w:tc>
          <w:tcPr>
            <w:tcW w:w="623" w:type="dxa"/>
            <w:tcBorders>
              <w:top w:val="single" w:sz="4" w:space="0" w:color="auto"/>
              <w:left w:val="nil"/>
              <w:bottom w:val="nil"/>
              <w:right w:val="single" w:sz="4" w:space="0" w:color="auto"/>
            </w:tcBorders>
            <w:shd w:val="clear" w:color="auto" w:fill="auto"/>
            <w:vAlign w:val="center"/>
            <w:hideMark/>
          </w:tcPr>
          <w:p w14:paraId="62BD7267"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683" w:type="dxa"/>
            <w:tcBorders>
              <w:top w:val="single" w:sz="4" w:space="0" w:color="auto"/>
              <w:left w:val="nil"/>
              <w:bottom w:val="nil"/>
              <w:right w:val="single" w:sz="4" w:space="0" w:color="auto"/>
            </w:tcBorders>
            <w:shd w:val="clear" w:color="auto" w:fill="auto"/>
            <w:vAlign w:val="center"/>
            <w:hideMark/>
          </w:tcPr>
          <w:p w14:paraId="18DABFFF"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Per UE</w:t>
            </w:r>
          </w:p>
        </w:tc>
        <w:tc>
          <w:tcPr>
            <w:tcW w:w="1083" w:type="dxa"/>
            <w:tcBorders>
              <w:top w:val="single" w:sz="4" w:space="0" w:color="auto"/>
              <w:left w:val="nil"/>
              <w:bottom w:val="nil"/>
              <w:right w:val="single" w:sz="4" w:space="0" w:color="auto"/>
            </w:tcBorders>
            <w:shd w:val="clear" w:color="auto" w:fill="auto"/>
            <w:vAlign w:val="center"/>
            <w:hideMark/>
          </w:tcPr>
          <w:p w14:paraId="1B0466AA"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963" w:type="dxa"/>
            <w:tcBorders>
              <w:top w:val="single" w:sz="4" w:space="0" w:color="auto"/>
              <w:left w:val="nil"/>
              <w:bottom w:val="nil"/>
              <w:right w:val="single" w:sz="4" w:space="0" w:color="auto"/>
            </w:tcBorders>
            <w:shd w:val="clear" w:color="auto" w:fill="auto"/>
            <w:vAlign w:val="center"/>
            <w:hideMark/>
          </w:tcPr>
          <w:p w14:paraId="12E3571C"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38.331</w:t>
            </w:r>
          </w:p>
        </w:tc>
        <w:tc>
          <w:tcPr>
            <w:tcW w:w="2954" w:type="dxa"/>
            <w:tcBorders>
              <w:top w:val="single" w:sz="4" w:space="0" w:color="auto"/>
              <w:left w:val="nil"/>
              <w:bottom w:val="nil"/>
              <w:right w:val="single" w:sz="4" w:space="0" w:color="auto"/>
            </w:tcBorders>
            <w:shd w:val="clear" w:color="auto" w:fill="auto"/>
            <w:vAlign w:val="center"/>
            <w:hideMark/>
          </w:tcPr>
          <w:p w14:paraId="36918E5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same as above</w:t>
            </w:r>
          </w:p>
        </w:tc>
      </w:tr>
      <w:tr w:rsidR="005D6430" w:rsidRPr="005D6430" w14:paraId="0DA60B68" w14:textId="77777777" w:rsidTr="005D6430">
        <w:trPr>
          <w:trHeight w:val="1587"/>
        </w:trPr>
        <w:tc>
          <w:tcPr>
            <w:tcW w:w="537" w:type="dxa"/>
            <w:tcBorders>
              <w:top w:val="single" w:sz="4" w:space="0" w:color="auto"/>
              <w:left w:val="single" w:sz="4" w:space="0" w:color="auto"/>
              <w:bottom w:val="nil"/>
              <w:right w:val="single" w:sz="4" w:space="0" w:color="auto"/>
            </w:tcBorders>
            <w:shd w:val="clear" w:color="auto" w:fill="auto"/>
            <w:vAlign w:val="center"/>
            <w:hideMark/>
          </w:tcPr>
          <w:p w14:paraId="283CCF34"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TEI18</w:t>
            </w:r>
          </w:p>
        </w:tc>
        <w:tc>
          <w:tcPr>
            <w:tcW w:w="863" w:type="dxa"/>
            <w:tcBorders>
              <w:top w:val="single" w:sz="4" w:space="0" w:color="auto"/>
              <w:left w:val="nil"/>
              <w:bottom w:val="nil"/>
              <w:right w:val="single" w:sz="4" w:space="0" w:color="auto"/>
            </w:tcBorders>
            <w:shd w:val="clear" w:color="auto" w:fill="auto"/>
            <w:vAlign w:val="center"/>
            <w:hideMark/>
          </w:tcPr>
          <w:p w14:paraId="3FE5C3F3"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Multiplex Type-3 HARQ-ACK codebook for PDSCH scheduling after UL grant on PUSCH</w:t>
            </w:r>
          </w:p>
        </w:tc>
        <w:tc>
          <w:tcPr>
            <w:tcW w:w="950" w:type="dxa"/>
            <w:tcBorders>
              <w:top w:val="single" w:sz="4" w:space="0" w:color="auto"/>
              <w:left w:val="nil"/>
              <w:bottom w:val="nil"/>
              <w:right w:val="single" w:sz="4" w:space="0" w:color="auto"/>
            </w:tcBorders>
            <w:shd w:val="clear" w:color="auto" w:fill="auto"/>
            <w:vAlign w:val="center"/>
            <w:hideMark/>
          </w:tcPr>
          <w:p w14:paraId="6C9B14BF"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38.213</w:t>
            </w:r>
          </w:p>
        </w:tc>
        <w:tc>
          <w:tcPr>
            <w:tcW w:w="650" w:type="dxa"/>
            <w:tcBorders>
              <w:top w:val="single" w:sz="4" w:space="0" w:color="auto"/>
              <w:left w:val="nil"/>
              <w:bottom w:val="nil"/>
              <w:right w:val="single" w:sz="4" w:space="0" w:color="auto"/>
            </w:tcBorders>
            <w:shd w:val="clear" w:color="auto" w:fill="auto"/>
            <w:vAlign w:val="center"/>
            <w:hideMark/>
          </w:tcPr>
          <w:p w14:paraId="1477CA9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90" w:type="dxa"/>
            <w:tcBorders>
              <w:top w:val="single" w:sz="4" w:space="0" w:color="auto"/>
              <w:left w:val="nil"/>
              <w:bottom w:val="nil"/>
              <w:right w:val="single" w:sz="4" w:space="0" w:color="auto"/>
            </w:tcBorders>
            <w:shd w:val="clear" w:color="auto" w:fill="auto"/>
            <w:vAlign w:val="center"/>
            <w:hideMark/>
          </w:tcPr>
          <w:p w14:paraId="52A2D4C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70" w:type="dxa"/>
            <w:tcBorders>
              <w:top w:val="single" w:sz="4" w:space="0" w:color="auto"/>
              <w:left w:val="nil"/>
              <w:bottom w:val="nil"/>
              <w:right w:val="single" w:sz="4" w:space="0" w:color="auto"/>
            </w:tcBorders>
            <w:shd w:val="clear" w:color="auto" w:fill="auto"/>
            <w:vAlign w:val="center"/>
            <w:hideMark/>
          </w:tcPr>
          <w:p w14:paraId="4BCA71D2"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804" w:type="dxa"/>
            <w:tcBorders>
              <w:top w:val="single" w:sz="4" w:space="0" w:color="auto"/>
              <w:left w:val="nil"/>
              <w:bottom w:val="nil"/>
              <w:right w:val="single" w:sz="4" w:space="0" w:color="auto"/>
            </w:tcBorders>
            <w:shd w:val="clear" w:color="auto" w:fill="auto"/>
            <w:vAlign w:val="center"/>
            <w:hideMark/>
          </w:tcPr>
          <w:p w14:paraId="307D6BB8"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743" w:type="dxa"/>
            <w:tcBorders>
              <w:top w:val="single" w:sz="4" w:space="0" w:color="auto"/>
              <w:left w:val="nil"/>
              <w:bottom w:val="nil"/>
              <w:right w:val="single" w:sz="4" w:space="0" w:color="auto"/>
            </w:tcBorders>
            <w:shd w:val="clear" w:color="auto" w:fill="auto"/>
            <w:vAlign w:val="center"/>
            <w:hideMark/>
          </w:tcPr>
          <w:p w14:paraId="569A30EF"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1097" w:type="dxa"/>
            <w:tcBorders>
              <w:top w:val="single" w:sz="4" w:space="0" w:color="auto"/>
              <w:left w:val="nil"/>
              <w:bottom w:val="nil"/>
              <w:right w:val="single" w:sz="4" w:space="0" w:color="auto"/>
            </w:tcBorders>
            <w:shd w:val="clear" w:color="auto" w:fill="auto"/>
            <w:vAlign w:val="center"/>
            <w:hideMark/>
          </w:tcPr>
          <w:p w14:paraId="7454186A"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enable-Type3-HARQ-ACK-mux-forDLassignmentafterULgrant</w:t>
            </w:r>
          </w:p>
        </w:tc>
        <w:tc>
          <w:tcPr>
            <w:tcW w:w="1617" w:type="dxa"/>
            <w:tcBorders>
              <w:top w:val="single" w:sz="4" w:space="0" w:color="auto"/>
              <w:left w:val="nil"/>
              <w:bottom w:val="nil"/>
              <w:right w:val="single" w:sz="4" w:space="0" w:color="auto"/>
            </w:tcBorders>
            <w:shd w:val="clear" w:color="auto" w:fill="auto"/>
            <w:vAlign w:val="center"/>
            <w:hideMark/>
          </w:tcPr>
          <w:p w14:paraId="5939814F"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w:t>
            </w:r>
          </w:p>
        </w:tc>
        <w:tc>
          <w:tcPr>
            <w:tcW w:w="724" w:type="dxa"/>
            <w:tcBorders>
              <w:top w:val="single" w:sz="4" w:space="0" w:color="auto"/>
              <w:left w:val="nil"/>
              <w:bottom w:val="nil"/>
              <w:right w:val="single" w:sz="4" w:space="0" w:color="auto"/>
            </w:tcBorders>
            <w:shd w:val="clear" w:color="auto" w:fill="auto"/>
            <w:vAlign w:val="center"/>
            <w:hideMark/>
          </w:tcPr>
          <w:p w14:paraId="0E2295A2"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w:t>
            </w:r>
          </w:p>
        </w:tc>
        <w:tc>
          <w:tcPr>
            <w:tcW w:w="623" w:type="dxa"/>
            <w:tcBorders>
              <w:top w:val="single" w:sz="4" w:space="0" w:color="auto"/>
              <w:left w:val="nil"/>
              <w:bottom w:val="nil"/>
              <w:right w:val="single" w:sz="4" w:space="0" w:color="auto"/>
            </w:tcBorders>
            <w:shd w:val="clear" w:color="auto" w:fill="auto"/>
            <w:vAlign w:val="center"/>
            <w:hideMark/>
          </w:tcPr>
          <w:p w14:paraId="5FD32AD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683" w:type="dxa"/>
            <w:tcBorders>
              <w:top w:val="single" w:sz="4" w:space="0" w:color="auto"/>
              <w:left w:val="nil"/>
              <w:bottom w:val="nil"/>
              <w:right w:val="single" w:sz="4" w:space="0" w:color="auto"/>
            </w:tcBorders>
            <w:shd w:val="clear" w:color="auto" w:fill="auto"/>
            <w:vAlign w:val="center"/>
            <w:hideMark/>
          </w:tcPr>
          <w:p w14:paraId="431F3C6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Per UE</w:t>
            </w:r>
          </w:p>
        </w:tc>
        <w:tc>
          <w:tcPr>
            <w:tcW w:w="1083" w:type="dxa"/>
            <w:tcBorders>
              <w:top w:val="single" w:sz="4" w:space="0" w:color="auto"/>
              <w:left w:val="nil"/>
              <w:bottom w:val="nil"/>
              <w:right w:val="single" w:sz="4" w:space="0" w:color="auto"/>
            </w:tcBorders>
            <w:shd w:val="clear" w:color="auto" w:fill="auto"/>
            <w:vAlign w:val="center"/>
            <w:hideMark/>
          </w:tcPr>
          <w:p w14:paraId="205DA532"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963" w:type="dxa"/>
            <w:tcBorders>
              <w:top w:val="single" w:sz="4" w:space="0" w:color="auto"/>
              <w:left w:val="nil"/>
              <w:bottom w:val="nil"/>
              <w:right w:val="single" w:sz="4" w:space="0" w:color="auto"/>
            </w:tcBorders>
            <w:shd w:val="clear" w:color="auto" w:fill="auto"/>
            <w:vAlign w:val="center"/>
            <w:hideMark/>
          </w:tcPr>
          <w:p w14:paraId="43973E37"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38.331</w:t>
            </w:r>
          </w:p>
        </w:tc>
        <w:tc>
          <w:tcPr>
            <w:tcW w:w="2954" w:type="dxa"/>
            <w:tcBorders>
              <w:top w:val="single" w:sz="4" w:space="0" w:color="auto"/>
              <w:left w:val="nil"/>
              <w:bottom w:val="nil"/>
              <w:right w:val="single" w:sz="4" w:space="0" w:color="auto"/>
            </w:tcBorders>
            <w:shd w:val="clear" w:color="auto" w:fill="auto"/>
            <w:vAlign w:val="center"/>
            <w:hideMark/>
          </w:tcPr>
          <w:p w14:paraId="1C3A8FA9"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same as above</w:t>
            </w:r>
          </w:p>
        </w:tc>
      </w:tr>
      <w:tr w:rsidR="005D6430" w:rsidRPr="005D6430" w14:paraId="7A3E867A" w14:textId="77777777" w:rsidTr="005D6430">
        <w:trPr>
          <w:trHeight w:val="1814"/>
        </w:trPr>
        <w:tc>
          <w:tcPr>
            <w:tcW w:w="537" w:type="dxa"/>
            <w:tcBorders>
              <w:top w:val="single" w:sz="4" w:space="0" w:color="auto"/>
              <w:left w:val="single" w:sz="4" w:space="0" w:color="auto"/>
              <w:bottom w:val="nil"/>
              <w:right w:val="single" w:sz="4" w:space="0" w:color="auto"/>
            </w:tcBorders>
            <w:shd w:val="clear" w:color="auto" w:fill="auto"/>
            <w:vAlign w:val="center"/>
            <w:hideMark/>
          </w:tcPr>
          <w:p w14:paraId="3610536C"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TEI18</w:t>
            </w:r>
          </w:p>
        </w:tc>
        <w:tc>
          <w:tcPr>
            <w:tcW w:w="863" w:type="dxa"/>
            <w:tcBorders>
              <w:top w:val="single" w:sz="4" w:space="0" w:color="auto"/>
              <w:left w:val="nil"/>
              <w:bottom w:val="nil"/>
              <w:right w:val="single" w:sz="4" w:space="0" w:color="auto"/>
            </w:tcBorders>
            <w:shd w:val="clear" w:color="auto" w:fill="auto"/>
            <w:vAlign w:val="center"/>
            <w:hideMark/>
          </w:tcPr>
          <w:p w14:paraId="2B5D2A6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Determining a different PUCCH resource to transmit HARQ-ACK for PDSCH scheduled after UL grant</w:t>
            </w:r>
          </w:p>
        </w:tc>
        <w:tc>
          <w:tcPr>
            <w:tcW w:w="950" w:type="dxa"/>
            <w:tcBorders>
              <w:top w:val="single" w:sz="4" w:space="0" w:color="auto"/>
              <w:left w:val="nil"/>
              <w:bottom w:val="nil"/>
              <w:right w:val="single" w:sz="4" w:space="0" w:color="auto"/>
            </w:tcBorders>
            <w:shd w:val="clear" w:color="auto" w:fill="auto"/>
            <w:vAlign w:val="center"/>
            <w:hideMark/>
          </w:tcPr>
          <w:p w14:paraId="302FA467"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38.213</w:t>
            </w:r>
          </w:p>
        </w:tc>
        <w:tc>
          <w:tcPr>
            <w:tcW w:w="650" w:type="dxa"/>
            <w:tcBorders>
              <w:top w:val="single" w:sz="4" w:space="0" w:color="auto"/>
              <w:left w:val="nil"/>
              <w:bottom w:val="nil"/>
              <w:right w:val="single" w:sz="4" w:space="0" w:color="auto"/>
            </w:tcBorders>
            <w:shd w:val="clear" w:color="auto" w:fill="auto"/>
            <w:vAlign w:val="center"/>
            <w:hideMark/>
          </w:tcPr>
          <w:p w14:paraId="2EC2E31A"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90" w:type="dxa"/>
            <w:tcBorders>
              <w:top w:val="single" w:sz="4" w:space="0" w:color="auto"/>
              <w:left w:val="nil"/>
              <w:bottom w:val="nil"/>
              <w:right w:val="single" w:sz="4" w:space="0" w:color="auto"/>
            </w:tcBorders>
            <w:shd w:val="clear" w:color="auto" w:fill="auto"/>
            <w:vAlign w:val="center"/>
            <w:hideMark/>
          </w:tcPr>
          <w:p w14:paraId="058F349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70" w:type="dxa"/>
            <w:tcBorders>
              <w:top w:val="single" w:sz="4" w:space="0" w:color="auto"/>
              <w:left w:val="nil"/>
              <w:bottom w:val="nil"/>
              <w:right w:val="single" w:sz="4" w:space="0" w:color="auto"/>
            </w:tcBorders>
            <w:shd w:val="clear" w:color="auto" w:fill="auto"/>
            <w:vAlign w:val="center"/>
            <w:hideMark/>
          </w:tcPr>
          <w:p w14:paraId="61E0432A"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804" w:type="dxa"/>
            <w:tcBorders>
              <w:top w:val="single" w:sz="4" w:space="0" w:color="auto"/>
              <w:left w:val="nil"/>
              <w:bottom w:val="nil"/>
              <w:right w:val="single" w:sz="4" w:space="0" w:color="auto"/>
            </w:tcBorders>
            <w:shd w:val="clear" w:color="auto" w:fill="auto"/>
            <w:vAlign w:val="center"/>
            <w:hideMark/>
          </w:tcPr>
          <w:p w14:paraId="737D8DB4"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743" w:type="dxa"/>
            <w:tcBorders>
              <w:top w:val="single" w:sz="4" w:space="0" w:color="auto"/>
              <w:left w:val="nil"/>
              <w:bottom w:val="nil"/>
              <w:right w:val="single" w:sz="4" w:space="0" w:color="auto"/>
            </w:tcBorders>
            <w:shd w:val="clear" w:color="auto" w:fill="auto"/>
            <w:vAlign w:val="center"/>
            <w:hideMark/>
          </w:tcPr>
          <w:p w14:paraId="32B21E5D"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1097" w:type="dxa"/>
            <w:tcBorders>
              <w:top w:val="single" w:sz="4" w:space="0" w:color="auto"/>
              <w:left w:val="nil"/>
              <w:bottom w:val="nil"/>
              <w:right w:val="single" w:sz="4" w:space="0" w:color="auto"/>
            </w:tcBorders>
            <w:shd w:val="clear" w:color="auto" w:fill="auto"/>
            <w:vAlign w:val="center"/>
            <w:hideMark/>
          </w:tcPr>
          <w:p w14:paraId="7643A5E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enable-different-</w:t>
            </w:r>
            <w:proofErr w:type="spellStart"/>
            <w:r w:rsidRPr="005D6430">
              <w:rPr>
                <w:rFonts w:ascii="Arial" w:eastAsia="Times New Roman" w:hAnsi="Arial" w:cs="Arial"/>
                <w:color w:val="0000FF"/>
                <w:sz w:val="12"/>
                <w:szCs w:val="16"/>
                <w:lang w:eastAsia="zh-CN"/>
              </w:rPr>
              <w:t>PUCCHresource</w:t>
            </w:r>
            <w:proofErr w:type="spellEnd"/>
          </w:p>
        </w:tc>
        <w:tc>
          <w:tcPr>
            <w:tcW w:w="1617" w:type="dxa"/>
            <w:tcBorders>
              <w:top w:val="single" w:sz="4" w:space="0" w:color="auto"/>
              <w:left w:val="nil"/>
              <w:bottom w:val="nil"/>
              <w:right w:val="single" w:sz="4" w:space="0" w:color="auto"/>
            </w:tcBorders>
            <w:shd w:val="clear" w:color="auto" w:fill="auto"/>
            <w:vAlign w:val="center"/>
            <w:hideMark/>
          </w:tcPr>
          <w:p w14:paraId="1C3FAF9D"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Indicate whether a different PUCCH resource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might be determined. See clause 9 in TS 38.213 [13]. See clause 9 in TS 38.213 [13].</w:t>
            </w:r>
          </w:p>
        </w:tc>
        <w:tc>
          <w:tcPr>
            <w:tcW w:w="724" w:type="dxa"/>
            <w:tcBorders>
              <w:top w:val="single" w:sz="4" w:space="0" w:color="auto"/>
              <w:left w:val="nil"/>
              <w:bottom w:val="nil"/>
              <w:right w:val="single" w:sz="4" w:space="0" w:color="auto"/>
            </w:tcBorders>
            <w:shd w:val="clear" w:color="auto" w:fill="auto"/>
            <w:vAlign w:val="center"/>
            <w:hideMark/>
          </w:tcPr>
          <w:p w14:paraId="5240CBB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w:t>
            </w:r>
          </w:p>
        </w:tc>
        <w:tc>
          <w:tcPr>
            <w:tcW w:w="623" w:type="dxa"/>
            <w:tcBorders>
              <w:top w:val="single" w:sz="4" w:space="0" w:color="auto"/>
              <w:left w:val="nil"/>
              <w:bottom w:val="nil"/>
              <w:right w:val="single" w:sz="4" w:space="0" w:color="auto"/>
            </w:tcBorders>
            <w:shd w:val="clear" w:color="auto" w:fill="auto"/>
            <w:vAlign w:val="center"/>
            <w:hideMark/>
          </w:tcPr>
          <w:p w14:paraId="1AD3EF5E"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683" w:type="dxa"/>
            <w:tcBorders>
              <w:top w:val="single" w:sz="4" w:space="0" w:color="auto"/>
              <w:left w:val="nil"/>
              <w:bottom w:val="nil"/>
              <w:right w:val="single" w:sz="4" w:space="0" w:color="auto"/>
            </w:tcBorders>
            <w:shd w:val="clear" w:color="auto" w:fill="auto"/>
            <w:vAlign w:val="center"/>
            <w:hideMark/>
          </w:tcPr>
          <w:p w14:paraId="4F92B25A"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Per UE</w:t>
            </w:r>
          </w:p>
        </w:tc>
        <w:tc>
          <w:tcPr>
            <w:tcW w:w="1083" w:type="dxa"/>
            <w:tcBorders>
              <w:top w:val="single" w:sz="4" w:space="0" w:color="auto"/>
              <w:left w:val="nil"/>
              <w:bottom w:val="nil"/>
              <w:right w:val="single" w:sz="4" w:space="0" w:color="auto"/>
            </w:tcBorders>
            <w:shd w:val="clear" w:color="auto" w:fill="auto"/>
            <w:vAlign w:val="center"/>
            <w:hideMark/>
          </w:tcPr>
          <w:p w14:paraId="49D1124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963" w:type="dxa"/>
            <w:tcBorders>
              <w:top w:val="single" w:sz="4" w:space="0" w:color="auto"/>
              <w:left w:val="nil"/>
              <w:bottom w:val="nil"/>
              <w:right w:val="single" w:sz="4" w:space="0" w:color="auto"/>
            </w:tcBorders>
            <w:shd w:val="clear" w:color="auto" w:fill="auto"/>
            <w:vAlign w:val="center"/>
            <w:hideMark/>
          </w:tcPr>
          <w:p w14:paraId="74B79ACA"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38.331</w:t>
            </w:r>
          </w:p>
        </w:tc>
        <w:tc>
          <w:tcPr>
            <w:tcW w:w="2954" w:type="dxa"/>
            <w:tcBorders>
              <w:top w:val="single" w:sz="4" w:space="0" w:color="auto"/>
              <w:left w:val="nil"/>
              <w:bottom w:val="nil"/>
              <w:right w:val="single" w:sz="4" w:space="0" w:color="auto"/>
            </w:tcBorders>
            <w:shd w:val="clear" w:color="auto" w:fill="auto"/>
            <w:vAlign w:val="center"/>
            <w:hideMark/>
          </w:tcPr>
          <w:p w14:paraId="42BA2587"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same as above</w:t>
            </w:r>
          </w:p>
        </w:tc>
      </w:tr>
      <w:tr w:rsidR="005D6430" w:rsidRPr="005D6430" w14:paraId="16AD3508" w14:textId="77777777" w:rsidTr="005D6430">
        <w:trPr>
          <w:trHeight w:val="1814"/>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9FFBD"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lastRenderedPageBreak/>
              <w:t>TEI18</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3994D498"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Determining different codebook size to transmit HARQ-ACK for PDSCH scheduled after UL grant</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1DACAA61"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38.213</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41118F1"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90" w:type="dxa"/>
            <w:tcBorders>
              <w:top w:val="single" w:sz="4" w:space="0" w:color="auto"/>
              <w:left w:val="nil"/>
              <w:bottom w:val="single" w:sz="4" w:space="0" w:color="auto"/>
              <w:right w:val="single" w:sz="4" w:space="0" w:color="auto"/>
            </w:tcBorders>
            <w:shd w:val="clear" w:color="auto" w:fill="auto"/>
            <w:vAlign w:val="center"/>
            <w:hideMark/>
          </w:tcPr>
          <w:p w14:paraId="1EF696E4"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570" w:type="dxa"/>
            <w:tcBorders>
              <w:top w:val="single" w:sz="4" w:space="0" w:color="auto"/>
              <w:left w:val="nil"/>
              <w:bottom w:val="single" w:sz="4" w:space="0" w:color="auto"/>
              <w:right w:val="single" w:sz="4" w:space="0" w:color="auto"/>
            </w:tcBorders>
            <w:shd w:val="clear" w:color="auto" w:fill="auto"/>
            <w:vAlign w:val="center"/>
            <w:hideMark/>
          </w:tcPr>
          <w:p w14:paraId="75076B49"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804" w:type="dxa"/>
            <w:tcBorders>
              <w:top w:val="single" w:sz="4" w:space="0" w:color="auto"/>
              <w:left w:val="nil"/>
              <w:bottom w:val="single" w:sz="4" w:space="0" w:color="auto"/>
              <w:right w:val="single" w:sz="4" w:space="0" w:color="auto"/>
            </w:tcBorders>
            <w:shd w:val="clear" w:color="auto" w:fill="auto"/>
            <w:vAlign w:val="center"/>
            <w:hideMark/>
          </w:tcPr>
          <w:p w14:paraId="38ABD425"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32F6566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2F5D616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enable-different-</w:t>
            </w:r>
            <w:proofErr w:type="spellStart"/>
            <w:r w:rsidRPr="005D6430">
              <w:rPr>
                <w:rFonts w:ascii="Arial" w:eastAsia="Times New Roman" w:hAnsi="Arial" w:cs="Arial"/>
                <w:color w:val="0000FF"/>
                <w:sz w:val="12"/>
                <w:szCs w:val="16"/>
                <w:lang w:eastAsia="zh-CN"/>
              </w:rPr>
              <w:t>CBsize</w:t>
            </w:r>
            <w:proofErr w:type="spellEnd"/>
          </w:p>
        </w:tc>
        <w:tc>
          <w:tcPr>
            <w:tcW w:w="1617" w:type="dxa"/>
            <w:tcBorders>
              <w:top w:val="single" w:sz="4" w:space="0" w:color="auto"/>
              <w:left w:val="nil"/>
              <w:bottom w:val="single" w:sz="4" w:space="0" w:color="auto"/>
              <w:right w:val="single" w:sz="4" w:space="0" w:color="auto"/>
            </w:tcBorders>
            <w:shd w:val="clear" w:color="auto" w:fill="auto"/>
            <w:vAlign w:val="center"/>
            <w:hideMark/>
          </w:tcPr>
          <w:p w14:paraId="2C6F21F6"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Indicate whether a different codebook size from the size determined based on HARQ-ACK information associated with PDSCH reception(s) scheduled before a UL grant,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3E7696E9"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{enabled}</w:t>
            </w:r>
          </w:p>
        </w:tc>
        <w:tc>
          <w:tcPr>
            <w:tcW w:w="623" w:type="dxa"/>
            <w:tcBorders>
              <w:top w:val="single" w:sz="4" w:space="0" w:color="auto"/>
              <w:left w:val="nil"/>
              <w:bottom w:val="single" w:sz="4" w:space="0" w:color="auto"/>
              <w:right w:val="single" w:sz="4" w:space="0" w:color="auto"/>
            </w:tcBorders>
            <w:shd w:val="clear" w:color="auto" w:fill="auto"/>
            <w:vAlign w:val="center"/>
            <w:hideMark/>
          </w:tcPr>
          <w:p w14:paraId="6688397D"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1312703E"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Per UE</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4568A95B"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B35CFB0" w14:textId="77777777" w:rsidR="005D6430" w:rsidRPr="005D6430" w:rsidRDefault="005D6430" w:rsidP="005D6430">
            <w:pPr>
              <w:autoSpaceDE/>
              <w:autoSpaceDN/>
              <w:adjustRightInd/>
              <w:snapToGrid/>
              <w:spacing w:after="0"/>
              <w:jc w:val="righ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38.331</w:t>
            </w:r>
          </w:p>
        </w:tc>
        <w:tc>
          <w:tcPr>
            <w:tcW w:w="2954" w:type="dxa"/>
            <w:tcBorders>
              <w:top w:val="single" w:sz="4" w:space="0" w:color="auto"/>
              <w:left w:val="nil"/>
              <w:bottom w:val="single" w:sz="4" w:space="0" w:color="auto"/>
              <w:right w:val="single" w:sz="4" w:space="0" w:color="auto"/>
            </w:tcBorders>
            <w:shd w:val="clear" w:color="auto" w:fill="auto"/>
            <w:vAlign w:val="center"/>
            <w:hideMark/>
          </w:tcPr>
          <w:p w14:paraId="3A6D85A7" w14:textId="77777777" w:rsidR="005D6430" w:rsidRPr="005D6430" w:rsidRDefault="005D6430" w:rsidP="005D6430">
            <w:pPr>
              <w:autoSpaceDE/>
              <w:autoSpaceDN/>
              <w:adjustRightInd/>
              <w:snapToGrid/>
              <w:spacing w:after="0"/>
              <w:jc w:val="left"/>
              <w:rPr>
                <w:rFonts w:ascii="Arial" w:eastAsia="Times New Roman" w:hAnsi="Arial" w:cs="Arial"/>
                <w:color w:val="0000FF"/>
                <w:sz w:val="12"/>
                <w:szCs w:val="16"/>
                <w:lang w:eastAsia="zh-CN"/>
              </w:rPr>
            </w:pPr>
            <w:r w:rsidRPr="005D6430">
              <w:rPr>
                <w:rFonts w:ascii="Arial" w:eastAsia="Times New Roman" w:hAnsi="Arial" w:cs="Arial"/>
                <w:color w:val="0000FF"/>
                <w:sz w:val="12"/>
                <w:szCs w:val="16"/>
                <w:lang w:eastAsia="zh-CN"/>
              </w:rPr>
              <w:t>same as above</w:t>
            </w:r>
          </w:p>
        </w:tc>
      </w:tr>
    </w:tbl>
    <w:p w14:paraId="35B86060" w14:textId="77777777" w:rsidR="005D6430" w:rsidRDefault="005D6430" w:rsidP="004A7EFC">
      <w:pPr>
        <w:rPr>
          <w:b/>
          <w:i/>
          <w:lang w:eastAsia="zh-CN"/>
        </w:rPr>
      </w:pPr>
    </w:p>
    <w:p w14:paraId="6B4DAD83" w14:textId="77777777" w:rsidR="005D6430" w:rsidRDefault="005D6430" w:rsidP="004A7EFC">
      <w:pPr>
        <w:rPr>
          <w:b/>
          <w:i/>
          <w:lang w:eastAsia="zh-CN"/>
        </w:rPr>
      </w:pPr>
    </w:p>
    <w:p w14:paraId="1DF1CFC7" w14:textId="49D3E15C" w:rsidR="005D6430" w:rsidRDefault="005D6430" w:rsidP="005D6430">
      <w:pPr>
        <w:rPr>
          <w:b/>
          <w:i/>
          <w:lang w:eastAsia="zh-CN"/>
        </w:rPr>
      </w:pPr>
      <w:r>
        <w:rPr>
          <w:b/>
          <w:i/>
          <w:lang w:eastAsia="zh-CN"/>
        </w:rPr>
        <w:t xml:space="preserve">Proposal 1:  </w:t>
      </w:r>
      <w:r w:rsidRPr="0004089B">
        <w:rPr>
          <w:b/>
          <w:i/>
          <w:lang w:eastAsia="zh-CN"/>
        </w:rPr>
        <w:t xml:space="preserve">Endorse high layer parameters in the </w:t>
      </w:r>
      <w:r>
        <w:rPr>
          <w:b/>
          <w:i/>
          <w:lang w:eastAsia="zh-CN"/>
        </w:rPr>
        <w:t>table above</w:t>
      </w:r>
      <w:r w:rsidRPr="0004089B">
        <w:rPr>
          <w:b/>
          <w:i/>
          <w:lang w:eastAsia="zh-CN"/>
        </w:rPr>
        <w:t xml:space="preserve"> to enable the multiplexing of HARQ-ACK codebook on a repetition of a PUSCH transmission, other than the first repetition, where the HARQ-ACK codebook includes HARQ-ACK information associated with PDSCH reception(s) scheduled after the UL grant scheduling the PUSCH transmission.</w:t>
      </w:r>
    </w:p>
    <w:p w14:paraId="7676C0C0" w14:textId="77777777" w:rsidR="005D6430" w:rsidRDefault="005D6430" w:rsidP="004A7EFC">
      <w:pPr>
        <w:rPr>
          <w:b/>
          <w:i/>
          <w:lang w:eastAsia="zh-CN"/>
        </w:rPr>
      </w:pPr>
    </w:p>
    <w:p w14:paraId="5909C502" w14:textId="77777777" w:rsidR="005D6430" w:rsidRDefault="005D6430" w:rsidP="004A7EFC">
      <w:pPr>
        <w:rPr>
          <w:lang w:eastAsia="zh-CN"/>
        </w:rPr>
      </w:pPr>
      <w:r>
        <w:rPr>
          <w:lang w:eastAsia="zh-CN"/>
        </w:rPr>
        <w:t>Companies are encouraged to provide views on the high layer parameters in the following table.</w:t>
      </w:r>
    </w:p>
    <w:p w14:paraId="7E75F2A7" w14:textId="77777777" w:rsidR="00595744" w:rsidRDefault="00595744" w:rsidP="004A7EFC">
      <w:pPr>
        <w:rPr>
          <w:lang w:eastAsia="zh-CN"/>
        </w:rPr>
      </w:pPr>
    </w:p>
    <w:tbl>
      <w:tblPr>
        <w:tblStyle w:val="TableGrid"/>
        <w:tblW w:w="0" w:type="auto"/>
        <w:tblLook w:val="04A0" w:firstRow="1" w:lastRow="0" w:firstColumn="1" w:lastColumn="0" w:noHBand="0" w:noVBand="1"/>
      </w:tblPr>
      <w:tblGrid>
        <w:gridCol w:w="1731"/>
        <w:gridCol w:w="13681"/>
      </w:tblGrid>
      <w:tr w:rsidR="00595744" w14:paraId="12DFAECD" w14:textId="77777777" w:rsidTr="00595744">
        <w:tc>
          <w:tcPr>
            <w:tcW w:w="1945"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6AA7929" w14:textId="77777777" w:rsidR="00595744" w:rsidRPr="00595744" w:rsidRDefault="00595744">
            <w:pPr>
              <w:spacing w:afterLines="50"/>
              <w:textAlignment w:val="baseline"/>
              <w:rPr>
                <w:b/>
                <w:szCs w:val="20"/>
                <w:lang w:eastAsia="ja-JP"/>
              </w:rPr>
            </w:pPr>
            <w:r w:rsidRPr="00595744">
              <w:rPr>
                <w:b/>
              </w:rPr>
              <w:t>Company</w:t>
            </w:r>
          </w:p>
        </w:tc>
        <w:tc>
          <w:tcPr>
            <w:tcW w:w="1817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4F700A0" w14:textId="77777777" w:rsidR="00595744" w:rsidRPr="00595744" w:rsidRDefault="00595744">
            <w:pPr>
              <w:spacing w:afterLines="50"/>
              <w:textAlignment w:val="baseline"/>
              <w:rPr>
                <w:b/>
              </w:rPr>
            </w:pPr>
            <w:r w:rsidRPr="00595744">
              <w:rPr>
                <w:b/>
              </w:rPr>
              <w:t>Comment</w:t>
            </w:r>
          </w:p>
        </w:tc>
      </w:tr>
      <w:tr w:rsidR="00595744" w14:paraId="76DEF2D9" w14:textId="77777777" w:rsidTr="00595744">
        <w:tc>
          <w:tcPr>
            <w:tcW w:w="1945" w:type="dxa"/>
            <w:tcBorders>
              <w:top w:val="single" w:sz="4" w:space="0" w:color="auto"/>
              <w:left w:val="single" w:sz="4" w:space="0" w:color="auto"/>
              <w:bottom w:val="single" w:sz="4" w:space="0" w:color="auto"/>
              <w:right w:val="single" w:sz="4" w:space="0" w:color="auto"/>
            </w:tcBorders>
          </w:tcPr>
          <w:p w14:paraId="2A41BC8D" w14:textId="77777777" w:rsidR="00595744" w:rsidRDefault="00595744">
            <w:pPr>
              <w:overflowPunct w:val="0"/>
              <w:spacing w:afterLines="50"/>
              <w:textAlignment w:val="baseline"/>
            </w:pPr>
          </w:p>
        </w:tc>
        <w:tc>
          <w:tcPr>
            <w:tcW w:w="18179" w:type="dxa"/>
            <w:tcBorders>
              <w:top w:val="single" w:sz="4" w:space="0" w:color="auto"/>
              <w:left w:val="single" w:sz="4" w:space="0" w:color="auto"/>
              <w:bottom w:val="single" w:sz="4" w:space="0" w:color="auto"/>
              <w:right w:val="single" w:sz="4" w:space="0" w:color="auto"/>
            </w:tcBorders>
          </w:tcPr>
          <w:p w14:paraId="36EB2B0A" w14:textId="77777777" w:rsidR="00595744" w:rsidRDefault="00595744">
            <w:pPr>
              <w:overflowPunct w:val="0"/>
              <w:spacing w:afterLines="50"/>
              <w:textAlignment w:val="baseline"/>
            </w:pPr>
          </w:p>
        </w:tc>
      </w:tr>
      <w:tr w:rsidR="00595744" w14:paraId="5B08FEA0" w14:textId="77777777" w:rsidTr="00595744">
        <w:tc>
          <w:tcPr>
            <w:tcW w:w="1945" w:type="dxa"/>
            <w:tcBorders>
              <w:top w:val="single" w:sz="4" w:space="0" w:color="auto"/>
              <w:left w:val="single" w:sz="4" w:space="0" w:color="auto"/>
              <w:bottom w:val="single" w:sz="4" w:space="0" w:color="auto"/>
              <w:right w:val="single" w:sz="4" w:space="0" w:color="auto"/>
            </w:tcBorders>
          </w:tcPr>
          <w:p w14:paraId="62177554" w14:textId="77777777" w:rsidR="00595744" w:rsidRDefault="00595744">
            <w:pPr>
              <w:overflowPunct w:val="0"/>
              <w:spacing w:afterLines="50"/>
              <w:textAlignment w:val="baseline"/>
            </w:pPr>
          </w:p>
        </w:tc>
        <w:tc>
          <w:tcPr>
            <w:tcW w:w="18179" w:type="dxa"/>
            <w:tcBorders>
              <w:top w:val="single" w:sz="4" w:space="0" w:color="auto"/>
              <w:left w:val="single" w:sz="4" w:space="0" w:color="auto"/>
              <w:bottom w:val="single" w:sz="4" w:space="0" w:color="auto"/>
              <w:right w:val="single" w:sz="4" w:space="0" w:color="auto"/>
            </w:tcBorders>
          </w:tcPr>
          <w:p w14:paraId="38FCF327" w14:textId="77777777" w:rsidR="00595744" w:rsidRDefault="00595744">
            <w:pPr>
              <w:overflowPunct w:val="0"/>
              <w:spacing w:afterLines="50"/>
              <w:textAlignment w:val="baseline"/>
            </w:pPr>
          </w:p>
        </w:tc>
      </w:tr>
      <w:tr w:rsidR="00595744" w14:paraId="6BE527D9" w14:textId="77777777" w:rsidTr="00595744">
        <w:tc>
          <w:tcPr>
            <w:tcW w:w="1945" w:type="dxa"/>
            <w:tcBorders>
              <w:top w:val="single" w:sz="4" w:space="0" w:color="auto"/>
              <w:left w:val="single" w:sz="4" w:space="0" w:color="auto"/>
              <w:bottom w:val="single" w:sz="4" w:space="0" w:color="auto"/>
              <w:right w:val="single" w:sz="4" w:space="0" w:color="auto"/>
            </w:tcBorders>
          </w:tcPr>
          <w:p w14:paraId="031D29B4" w14:textId="77777777" w:rsidR="00595744" w:rsidRDefault="00595744">
            <w:pPr>
              <w:overflowPunct w:val="0"/>
              <w:spacing w:afterLines="50"/>
              <w:textAlignment w:val="baseline"/>
            </w:pPr>
          </w:p>
        </w:tc>
        <w:tc>
          <w:tcPr>
            <w:tcW w:w="18179" w:type="dxa"/>
            <w:tcBorders>
              <w:top w:val="single" w:sz="4" w:space="0" w:color="auto"/>
              <w:left w:val="single" w:sz="4" w:space="0" w:color="auto"/>
              <w:bottom w:val="single" w:sz="4" w:space="0" w:color="auto"/>
              <w:right w:val="single" w:sz="4" w:space="0" w:color="auto"/>
            </w:tcBorders>
          </w:tcPr>
          <w:p w14:paraId="10D58F3F" w14:textId="77777777" w:rsidR="00595744" w:rsidRDefault="00595744">
            <w:pPr>
              <w:overflowPunct w:val="0"/>
              <w:spacing w:afterLines="50"/>
              <w:textAlignment w:val="baseline"/>
              <w:rPr>
                <w:lang w:val="en-GB"/>
              </w:rPr>
            </w:pPr>
          </w:p>
        </w:tc>
      </w:tr>
    </w:tbl>
    <w:p w14:paraId="200A13FA" w14:textId="66D7C38D" w:rsidR="00595744" w:rsidRPr="005D6430" w:rsidRDefault="00595744" w:rsidP="004A7EFC">
      <w:pPr>
        <w:rPr>
          <w:lang w:eastAsia="zh-CN"/>
        </w:rPr>
        <w:sectPr w:rsidR="00595744" w:rsidRPr="005D6430" w:rsidSect="005D6430">
          <w:pgSz w:w="16834" w:h="11909" w:orient="landscape" w:code="9"/>
          <w:pgMar w:top="1138" w:right="562" w:bottom="1138" w:left="850" w:header="720" w:footer="720" w:gutter="0"/>
          <w:cols w:space="720"/>
          <w:noEndnote/>
          <w:docGrid w:linePitch="299"/>
        </w:sectPr>
      </w:pPr>
    </w:p>
    <w:p w14:paraId="7244A2BB" w14:textId="77777777" w:rsidR="005D6430" w:rsidRPr="000F6B37" w:rsidRDefault="005D6430" w:rsidP="004A7EFC">
      <w:pPr>
        <w:rPr>
          <w:b/>
          <w:i/>
          <w:lang w:eastAsia="zh-CN"/>
        </w:rPr>
      </w:pPr>
    </w:p>
    <w:p w14:paraId="31568560" w14:textId="77777777" w:rsidR="005429FD" w:rsidRDefault="005429FD" w:rsidP="003B007A">
      <w:pPr>
        <w:pStyle w:val="Heading1"/>
        <w:rPr>
          <w:lang w:eastAsia="zh-CN"/>
        </w:rPr>
      </w:pPr>
      <w:bookmarkStart w:id="6" w:name="_Ref129681832"/>
      <w:bookmarkEnd w:id="0"/>
      <w:r w:rsidRPr="00CF195E">
        <w:rPr>
          <w:lang w:eastAsia="zh-CN"/>
        </w:rPr>
        <w:t>Conclusion</w:t>
      </w:r>
    </w:p>
    <w:p w14:paraId="36EE8F1A" w14:textId="3B6E0EAC" w:rsidR="00CF4990" w:rsidRDefault="00CF4990" w:rsidP="0078173D">
      <w:pPr>
        <w:rPr>
          <w:b/>
          <w:i/>
          <w:lang w:eastAsia="zh-CN"/>
        </w:rPr>
      </w:pPr>
      <w:r>
        <w:rPr>
          <w:b/>
          <w:i/>
          <w:lang w:eastAsia="zh-CN"/>
        </w:rPr>
        <w:t>To be updated.</w:t>
      </w:r>
    </w:p>
    <w:p w14:paraId="61A82D8A" w14:textId="77777777" w:rsidR="00AF3FDE" w:rsidRPr="00F15C47" w:rsidRDefault="00AF3FDE" w:rsidP="009B74C6">
      <w:pPr>
        <w:spacing w:before="120"/>
        <w:rPr>
          <w:lang w:eastAsia="zh-CN"/>
        </w:rPr>
      </w:pPr>
    </w:p>
    <w:p w14:paraId="51214651" w14:textId="245BDDBE" w:rsidR="002E24DC" w:rsidRDefault="005429FD" w:rsidP="00FA1AE4">
      <w:pPr>
        <w:pStyle w:val="Heading1"/>
        <w:numPr>
          <w:ilvl w:val="0"/>
          <w:numId w:val="0"/>
        </w:numPr>
        <w:ind w:left="432" w:hanging="432"/>
      </w:pPr>
      <w:bookmarkStart w:id="7" w:name="_Ref124589665"/>
      <w:bookmarkStart w:id="8" w:name="_Ref71620620"/>
      <w:bookmarkStart w:id="9" w:name="_Ref124671424"/>
      <w:r w:rsidRPr="00CF195E">
        <w:t>References</w:t>
      </w:r>
      <w:bookmarkStart w:id="10" w:name="_Ref54360332"/>
      <w:bookmarkEnd w:id="6"/>
      <w:bookmarkEnd w:id="7"/>
      <w:bookmarkEnd w:id="8"/>
      <w:bookmarkEnd w:id="9"/>
      <w:bookmarkEnd w:id="10"/>
    </w:p>
    <w:p w14:paraId="5D58799F" w14:textId="442D47DC" w:rsidR="001B20A4" w:rsidRDefault="00A60BC0" w:rsidP="00FB61E1">
      <w:pPr>
        <w:pStyle w:val="References"/>
      </w:pPr>
      <w:bookmarkStart w:id="11" w:name="_Ref143663638"/>
      <w:r w:rsidRPr="00A60BC0">
        <w:rPr>
          <w:lang w:eastAsia="zh-CN"/>
        </w:rPr>
        <w:t>R1-2306485</w:t>
      </w:r>
      <w:r w:rsidR="00695787">
        <w:rPr>
          <w:lang w:eastAsia="zh-CN"/>
        </w:rPr>
        <w:t>, “</w:t>
      </w:r>
      <w:r w:rsidRPr="00A60BC0">
        <w:rPr>
          <w:lang w:eastAsia="zh-CN"/>
        </w:rPr>
        <w:t xml:space="preserve">Discussions on draft CRs and higher layer </w:t>
      </w:r>
      <w:proofErr w:type="spellStart"/>
      <w:r w:rsidRPr="00A60BC0">
        <w:rPr>
          <w:lang w:eastAsia="zh-CN"/>
        </w:rPr>
        <w:t>signalling</w:t>
      </w:r>
      <w:proofErr w:type="spellEnd"/>
      <w:r w:rsidRPr="00A60BC0">
        <w:rPr>
          <w:lang w:eastAsia="zh-CN"/>
        </w:rPr>
        <w:t xml:space="preserve"> for other Rel-18 items</w:t>
      </w:r>
      <w:r w:rsidR="00695787">
        <w:rPr>
          <w:lang w:eastAsia="zh-CN"/>
        </w:rPr>
        <w:t xml:space="preserve">”, </w:t>
      </w:r>
      <w:r>
        <w:rPr>
          <w:lang w:eastAsia="zh-CN"/>
        </w:rPr>
        <w:t xml:space="preserve">Huawei, </w:t>
      </w:r>
      <w:proofErr w:type="spellStart"/>
      <w:r>
        <w:rPr>
          <w:lang w:eastAsia="zh-CN"/>
        </w:rPr>
        <w:t>HiSilicon</w:t>
      </w:r>
      <w:bookmarkEnd w:id="11"/>
      <w:proofErr w:type="spellEnd"/>
    </w:p>
    <w:p w14:paraId="738FE764" w14:textId="77777777" w:rsidR="00185516" w:rsidRPr="006F6A45" w:rsidRDefault="00185516" w:rsidP="00120673">
      <w:pPr>
        <w:pStyle w:val="B1"/>
        <w:ind w:left="0" w:firstLine="0"/>
      </w:pPr>
    </w:p>
    <w:sectPr w:rsidR="00185516" w:rsidRPr="006F6A45" w:rsidSect="005D6430">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07A17" w14:textId="77777777" w:rsidR="00700C00" w:rsidRDefault="00700C00">
      <w:r>
        <w:separator/>
      </w:r>
    </w:p>
  </w:endnote>
  <w:endnote w:type="continuationSeparator" w:id="0">
    <w:p w14:paraId="2D3D0189" w14:textId="77777777" w:rsidR="00700C00" w:rsidRDefault="00700C00">
      <w:r>
        <w:continuationSeparator/>
      </w:r>
    </w:p>
  </w:endnote>
  <w:endnote w:type="continuationNotice" w:id="1">
    <w:p w14:paraId="3342926A" w14:textId="77777777" w:rsidR="00700C00" w:rsidRDefault="00700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42203" w14:textId="77777777" w:rsidR="00700C00" w:rsidRDefault="00700C00">
      <w:r>
        <w:separator/>
      </w:r>
    </w:p>
  </w:footnote>
  <w:footnote w:type="continuationSeparator" w:id="0">
    <w:p w14:paraId="09482960" w14:textId="77777777" w:rsidR="00700C00" w:rsidRDefault="00700C00">
      <w:r>
        <w:continuationSeparator/>
      </w:r>
    </w:p>
  </w:footnote>
  <w:footnote w:type="continuationNotice" w:id="1">
    <w:p w14:paraId="231C3B19" w14:textId="77777777" w:rsidR="00700C00" w:rsidRDefault="00700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A167BC"/>
    <w:multiLevelType w:val="hybridMultilevel"/>
    <w:tmpl w:val="CE4E306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EF43E9"/>
    <w:multiLevelType w:val="hybridMultilevel"/>
    <w:tmpl w:val="C37ABCA8"/>
    <w:lvl w:ilvl="0" w:tplc="5854F242">
      <w:numFmt w:val="bullet"/>
      <w:lvlText w:val="•"/>
      <w:lvlJc w:val="left"/>
      <w:pPr>
        <w:ind w:left="640" w:hanging="420"/>
      </w:pPr>
      <w:rPr>
        <w:rFonts w:ascii="SimSun" w:eastAsia="SimSun" w:hAnsi="SimSun"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22"/>
  </w:num>
  <w:num w:numId="4">
    <w:abstractNumId w:val="10"/>
  </w:num>
  <w:num w:numId="5">
    <w:abstractNumId w:val="15"/>
  </w:num>
  <w:num w:numId="6">
    <w:abstractNumId w:val="5"/>
  </w:num>
  <w:num w:numId="7">
    <w:abstractNumId w:val="2"/>
  </w:num>
  <w:num w:numId="8">
    <w:abstractNumId w:val="39"/>
  </w:num>
  <w:num w:numId="9">
    <w:abstractNumId w:val="3"/>
  </w:num>
  <w:num w:numId="10">
    <w:abstractNumId w:val="1"/>
  </w:num>
  <w:num w:numId="11">
    <w:abstractNumId w:val="38"/>
  </w:num>
  <w:num w:numId="12">
    <w:abstractNumId w:val="36"/>
  </w:num>
  <w:num w:numId="13">
    <w:abstractNumId w:val="8"/>
  </w:num>
  <w:num w:numId="14">
    <w:abstractNumId w:val="7"/>
  </w:num>
  <w:num w:numId="15">
    <w:abstractNumId w:val="24"/>
  </w:num>
  <w:num w:numId="16">
    <w:abstractNumId w:val="13"/>
  </w:num>
  <w:num w:numId="17">
    <w:abstractNumId w:val="11"/>
  </w:num>
  <w:num w:numId="18">
    <w:abstractNumId w:val="0"/>
  </w:num>
  <w:num w:numId="19">
    <w:abstractNumId w:val="28"/>
  </w:num>
  <w:num w:numId="20">
    <w:abstractNumId w:val="37"/>
  </w:num>
  <w:num w:numId="21">
    <w:abstractNumId w:val="23"/>
  </w:num>
  <w:num w:numId="22">
    <w:abstractNumId w:val="29"/>
  </w:num>
  <w:num w:numId="23">
    <w:abstractNumId w:val="26"/>
  </w:num>
  <w:num w:numId="24">
    <w:abstractNumId w:val="34"/>
  </w:num>
  <w:num w:numId="25">
    <w:abstractNumId w:val="9"/>
  </w:num>
  <w:num w:numId="26">
    <w:abstractNumId w:val="14"/>
  </w:num>
  <w:num w:numId="27">
    <w:abstractNumId w:val="31"/>
  </w:num>
  <w:num w:numId="28">
    <w:abstractNumId w:val="16"/>
  </w:num>
  <w:num w:numId="29">
    <w:abstractNumId w:val="6"/>
  </w:num>
  <w:num w:numId="30">
    <w:abstractNumId w:val="32"/>
  </w:num>
  <w:num w:numId="31">
    <w:abstractNumId w:val="18"/>
  </w:num>
  <w:num w:numId="32">
    <w:abstractNumId w:val="4"/>
  </w:num>
  <w:num w:numId="33">
    <w:abstractNumId w:val="35"/>
  </w:num>
  <w:num w:numId="34">
    <w:abstractNumId w:val="30"/>
  </w:num>
  <w:num w:numId="35">
    <w:abstractNumId w:val="33"/>
  </w:num>
  <w:num w:numId="36">
    <w:abstractNumId w:val="20"/>
  </w:num>
  <w:num w:numId="37">
    <w:abstractNumId w:val="19"/>
  </w:num>
  <w:num w:numId="38">
    <w:abstractNumId w:val="27"/>
  </w:num>
  <w:num w:numId="39">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C9F"/>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499"/>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59"/>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744"/>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30"/>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00"/>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AD0"/>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BC0"/>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69"/>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9F3"/>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1DD6"/>
    <w:rsid w:val="00CB212C"/>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990"/>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4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8"/>
      </w:numPr>
      <w:contextualSpacing/>
    </w:pPr>
  </w:style>
  <w:style w:type="paragraph" w:customStyle="1" w:styleId="Reference">
    <w:name w:val="Reference"/>
    <w:basedOn w:val="Normal"/>
    <w:qFormat/>
    <w:rsid w:val="002D63A2"/>
    <w:pPr>
      <w:widowControl w:val="0"/>
      <w:numPr>
        <w:numId w:val="19"/>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4524769">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51190068">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697977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27628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EC02B-928C-4776-80D7-22685A7E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Yangfan (James, Hisilicon)</cp:lastModifiedBy>
  <cp:revision>4</cp:revision>
  <cp:lastPrinted>2016-09-23T15:14:00Z</cp:lastPrinted>
  <dcterms:created xsi:type="dcterms:W3CDTF">2023-08-22T22:16:00Z</dcterms:created>
  <dcterms:modified xsi:type="dcterms:W3CDTF">2023-08-25T12:32:00Z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(3)nFqEPOojCpkVuQIyMD/BKIp42Y3dedWseEfCSKIOxNQNxoQkCTkbKh3RwMNY9exRhwCd+Y8Y
1HauJflSdHDQeq38pMbhpI/PLL8eGZUUcSZ2sBQBkOq2nIEHyNXpoMBeSHwwv8n5DxAwMdQR
DzbhG2oC1lBAMgyEKdOZ6/DMAkaKY8JL0svpnbgwxV9lGcu3QTjn7ou8skKV39P+VZUumjNr
fklkpm9I8+Rrn88GCQ</vt:lpwstr>
  </property>
  <property fmtid="{D5CDD505-2E9C-101B-9397-08002B2CF9AE}" pid="13" name="_2015_ms_pID_725343_00">
    <vt:lpwstr>_2015_ms_pID_725343</vt:lpwstr>
  </property>
  <property fmtid="{D5CDD505-2E9C-101B-9397-08002B2CF9AE}" pid="14" name="_2015_ms_pID_7253431">
    <vt:lpwstr>LYYWT6gR0sTq3iZyZaCdI+RRWfkq3Q6m2MjRa9yYvzteKBHNReVANS
xI8AeA67Tim1z/3KxcUKSf6jAoTcvYdLeiAfLY0l9DxMfBJgLWUGCIenjyWPYUWFvKbayHt8
eqkkpXa041OBNA5j6rOxRlZ2kOO0uyqMKU/KkxkcByjgub2DD0nkT8Ka4RLZHLU4OBj2bOip
Ghk6a6pFzYI7tOu17yKPsLJIjUCxsgDPIqE8</vt:lpwstr>
  </property>
  <property fmtid="{D5CDD505-2E9C-101B-9397-08002B2CF9AE}" pid="15" name="_2015_ms_pID_7253431_00">
    <vt:lpwstr>_2015_ms_pID_7253431</vt:lpwstr>
  </property>
  <property fmtid="{D5CDD505-2E9C-101B-9397-08002B2CF9AE}" pid="16" name="_2015_ms_pID_7253432">
    <vt:lpwstr>buCy3o/DDnxHYizuQjCWkhaQroiC6LWYI8g3
esEe3fcjSI3jPFl/W/S10DR+3Z2azPDduKpf7rKiHVVKudiyJeo=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